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24" w:rsidRPr="00B50B24" w:rsidRDefault="00B50B24" w:rsidP="00B50B24">
      <w:pPr>
        <w:jc w:val="center"/>
        <w:rPr>
          <w:rFonts w:ascii="Garamond" w:hAnsi="Garamond"/>
          <w:sz w:val="44"/>
          <w:szCs w:val="44"/>
        </w:rPr>
      </w:pPr>
      <w:r>
        <w:rPr>
          <w:rFonts w:ascii="Garamond" w:hAnsi="Garamond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-332105</wp:posOffset>
            </wp:positionV>
            <wp:extent cx="714375" cy="82808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el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B24">
        <w:rPr>
          <w:rFonts w:ascii="Garamond" w:hAnsi="Garamond"/>
          <w:sz w:val="44"/>
          <w:szCs w:val="44"/>
        </w:rPr>
        <w:t>Beaver Dam High School Syllabus</w:t>
      </w:r>
    </w:p>
    <w:tbl>
      <w:tblPr>
        <w:tblStyle w:val="TableGrid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915"/>
        <w:gridCol w:w="1915"/>
        <w:gridCol w:w="958"/>
        <w:gridCol w:w="957"/>
        <w:gridCol w:w="1915"/>
        <w:gridCol w:w="1916"/>
      </w:tblGrid>
      <w:tr w:rsidR="0020065A" w:rsidRPr="00201222" w:rsidTr="00506B2D">
        <w:trPr>
          <w:jc w:val="center"/>
        </w:trPr>
        <w:tc>
          <w:tcPr>
            <w:tcW w:w="4788" w:type="dxa"/>
            <w:gridSpan w:val="3"/>
          </w:tcPr>
          <w:p w:rsidR="0020065A" w:rsidRPr="00201222" w:rsidRDefault="0020065A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Department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713FA0" w:rsidRPr="00201222">
              <w:rPr>
                <w:rFonts w:ascii="Times New Roman" w:hAnsi="Times New Roman" w:cs="Times New Roman"/>
              </w:rPr>
              <w:t>English</w:t>
            </w:r>
          </w:p>
          <w:p w:rsidR="0020065A" w:rsidRPr="00201222" w:rsidRDefault="0020065A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School Year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25262B">
              <w:rPr>
                <w:rFonts w:ascii="Times New Roman" w:hAnsi="Times New Roman" w:cs="Times New Roman"/>
              </w:rPr>
              <w:t xml:space="preserve">2015–2016 </w:t>
            </w:r>
          </w:p>
          <w:p w:rsidR="0020065A" w:rsidRPr="00201222" w:rsidRDefault="0020065A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Course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713FA0" w:rsidRPr="00201222">
              <w:rPr>
                <w:rFonts w:ascii="Times New Roman" w:hAnsi="Times New Roman" w:cs="Times New Roman"/>
              </w:rPr>
              <w:t>Language Arts Intensive</w:t>
            </w:r>
          </w:p>
          <w:p w:rsidR="0020065A" w:rsidRPr="00201222" w:rsidRDefault="0020065A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Grade Level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713FA0" w:rsidRPr="00201222">
              <w:rPr>
                <w:rFonts w:ascii="Times New Roman" w:hAnsi="Times New Roman" w:cs="Times New Roman"/>
              </w:rPr>
              <w:t>9</w:t>
            </w:r>
          </w:p>
          <w:p w:rsidR="0020065A" w:rsidRPr="00201222" w:rsidRDefault="0020065A" w:rsidP="006676A7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Required Materials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6676A7" w:rsidRPr="00201222">
              <w:rPr>
                <w:rFonts w:ascii="Times New Roman" w:hAnsi="Times New Roman" w:cs="Times New Roman"/>
              </w:rPr>
              <w:t>folder, notebook, pens, pencils, and highlighters</w:t>
            </w:r>
          </w:p>
        </w:tc>
        <w:tc>
          <w:tcPr>
            <w:tcW w:w="4788" w:type="dxa"/>
            <w:gridSpan w:val="3"/>
          </w:tcPr>
          <w:p w:rsidR="006676A7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Course Resources</w:t>
            </w:r>
            <w:r w:rsidRPr="00201222">
              <w:rPr>
                <w:rFonts w:ascii="Times New Roman" w:hAnsi="Times New Roman" w:cs="Times New Roman"/>
              </w:rPr>
              <w:t xml:space="preserve">:  </w:t>
            </w:r>
          </w:p>
          <w:p w:rsidR="00012442" w:rsidRPr="00201222" w:rsidRDefault="00C61E9E" w:rsidP="0001244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10" w:history="1">
              <w:r w:rsidR="006676A7" w:rsidRPr="00201222">
                <w:rPr>
                  <w:rStyle w:val="Hyperlink"/>
                  <w:rFonts w:ascii="Times New Roman" w:hAnsi="Times New Roman" w:cs="Times New Roman"/>
                </w:rPr>
                <w:t>www.mindplay.com</w:t>
              </w:r>
            </w:hyperlink>
          </w:p>
          <w:p w:rsidR="00012442" w:rsidRPr="00201222" w:rsidRDefault="00C61E9E" w:rsidP="0001244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11" w:history="1">
              <w:r w:rsidR="006676A7" w:rsidRPr="00201222">
                <w:rPr>
                  <w:rStyle w:val="Hyperlink"/>
                  <w:rFonts w:ascii="Times New Roman" w:hAnsi="Times New Roman" w:cs="Times New Roman"/>
                </w:rPr>
                <w:t>http://read180.scholastic.com/</w:t>
              </w:r>
            </w:hyperlink>
          </w:p>
          <w:p w:rsidR="00506B2D" w:rsidRPr="00201222" w:rsidRDefault="00C61E9E" w:rsidP="0001244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hyperlink r:id="rId12" w:history="1">
              <w:r w:rsidR="006676A7" w:rsidRPr="00201222">
                <w:rPr>
                  <w:rStyle w:val="Hyperlink"/>
                  <w:rFonts w:ascii="Times New Roman" w:hAnsi="Times New Roman" w:cs="Times New Roman"/>
                </w:rPr>
                <w:t>https://lexile.com/</w:t>
              </w:r>
            </w:hyperlink>
            <w:r w:rsidR="006676A7" w:rsidRPr="00201222">
              <w:rPr>
                <w:rFonts w:ascii="Times New Roman" w:hAnsi="Times New Roman" w:cs="Times New Roman"/>
              </w:rPr>
              <w:tab/>
            </w:r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</w:p>
          <w:p w:rsidR="006676A7" w:rsidRPr="00201222" w:rsidRDefault="0020065A" w:rsidP="006676A7">
            <w:pPr>
              <w:rPr>
                <w:rFonts w:ascii="Times New Roman" w:hAnsi="Times New Roman" w:cs="Times New Roman"/>
                <w:b/>
              </w:rPr>
            </w:pPr>
            <w:r w:rsidRPr="00201222">
              <w:rPr>
                <w:rFonts w:ascii="Times New Roman" w:hAnsi="Times New Roman" w:cs="Times New Roman"/>
                <w:b/>
              </w:rPr>
              <w:t>Prerequisites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343B12" w:rsidRPr="00201222">
              <w:rPr>
                <w:rFonts w:ascii="Times New Roman" w:hAnsi="Times New Roman" w:cs="Times New Roman"/>
              </w:rPr>
              <w:t>All testing needs</w:t>
            </w:r>
            <w:r w:rsidR="00121D21" w:rsidRPr="00201222">
              <w:rPr>
                <w:rFonts w:ascii="Times New Roman" w:hAnsi="Times New Roman" w:cs="Times New Roman"/>
              </w:rPr>
              <w:t xml:space="preserve"> be completed prior to the student entering </w:t>
            </w:r>
            <w:r w:rsidR="00713FA0" w:rsidRPr="00201222">
              <w:rPr>
                <w:rFonts w:ascii="Times New Roman" w:hAnsi="Times New Roman" w:cs="Times New Roman"/>
              </w:rPr>
              <w:t>the Language Arts Intensive class</w:t>
            </w:r>
            <w:r w:rsidR="00121D21" w:rsidRPr="00201222">
              <w:rPr>
                <w:rFonts w:ascii="Times New Roman" w:hAnsi="Times New Roman" w:cs="Times New Roman"/>
              </w:rPr>
              <w:t>.</w:t>
            </w:r>
            <w:r w:rsidR="00121D21" w:rsidRPr="0020122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676A7" w:rsidRPr="00201222" w:rsidRDefault="00121D21" w:rsidP="006676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MAP test—score is low in reading</w:t>
            </w:r>
            <w:r w:rsidR="006676A7" w:rsidRPr="00201222">
              <w:rPr>
                <w:rFonts w:ascii="Times New Roman" w:hAnsi="Times New Roman" w:cs="Times New Roman"/>
              </w:rPr>
              <w:t>.</w:t>
            </w:r>
            <w:r w:rsidRPr="00201222">
              <w:rPr>
                <w:rFonts w:ascii="Times New Roman" w:hAnsi="Times New Roman" w:cs="Times New Roman"/>
              </w:rPr>
              <w:t xml:space="preserve"> </w:t>
            </w:r>
          </w:p>
          <w:p w:rsidR="006676A7" w:rsidRPr="00201222" w:rsidRDefault="00121D21" w:rsidP="006676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WKCE</w:t>
            </w:r>
            <w:r w:rsidR="00713FA0" w:rsidRPr="00201222">
              <w:rPr>
                <w:rFonts w:ascii="Times New Roman" w:hAnsi="Times New Roman" w:cs="Times New Roman"/>
              </w:rPr>
              <w:t xml:space="preserve"> </w:t>
            </w:r>
            <w:r w:rsidR="006676A7" w:rsidRPr="00201222">
              <w:rPr>
                <w:rFonts w:ascii="Times New Roman" w:hAnsi="Times New Roman" w:cs="Times New Roman"/>
              </w:rPr>
              <w:t>reading test—</w:t>
            </w:r>
            <w:proofErr w:type="gramStart"/>
            <w:r w:rsidR="006676A7" w:rsidRPr="00201222">
              <w:rPr>
                <w:rFonts w:ascii="Times New Roman" w:hAnsi="Times New Roman" w:cs="Times New Roman"/>
              </w:rPr>
              <w:t>Basic</w:t>
            </w:r>
            <w:proofErr w:type="gramEnd"/>
            <w:r w:rsidR="006676A7" w:rsidRPr="00201222">
              <w:rPr>
                <w:rFonts w:ascii="Times New Roman" w:hAnsi="Times New Roman" w:cs="Times New Roman"/>
              </w:rPr>
              <w:t xml:space="preserve"> or Minimal.</w:t>
            </w:r>
            <w:r w:rsidR="00713FA0" w:rsidRPr="00201222">
              <w:rPr>
                <w:rFonts w:ascii="Times New Roman" w:hAnsi="Times New Roman" w:cs="Times New Roman"/>
              </w:rPr>
              <w:t xml:space="preserve"> </w:t>
            </w:r>
          </w:p>
          <w:p w:rsidR="006676A7" w:rsidRPr="00201222" w:rsidRDefault="00713FA0" w:rsidP="006676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Lexile—b</w:t>
            </w:r>
            <w:r w:rsidR="00121D21" w:rsidRPr="00201222">
              <w:rPr>
                <w:rFonts w:ascii="Times New Roman" w:hAnsi="Times New Roman" w:cs="Times New Roman"/>
              </w:rPr>
              <w:t>elow 900</w:t>
            </w:r>
          </w:p>
          <w:p w:rsidR="006676A7" w:rsidRPr="00201222" w:rsidRDefault="006676A7" w:rsidP="006676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Records Review</w:t>
            </w:r>
          </w:p>
          <w:p w:rsidR="00201222" w:rsidRPr="00201222" w:rsidRDefault="006676A7" w:rsidP="0020122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R</w:t>
            </w:r>
            <w:r w:rsidR="00713FA0" w:rsidRPr="00201222">
              <w:rPr>
                <w:rFonts w:ascii="Times New Roman" w:hAnsi="Times New Roman" w:cs="Times New Roman"/>
              </w:rPr>
              <w:t>ecomm</w:t>
            </w:r>
            <w:r w:rsidRPr="00201222">
              <w:rPr>
                <w:rFonts w:ascii="Times New Roman" w:hAnsi="Times New Roman" w:cs="Times New Roman"/>
              </w:rPr>
              <w:t>endation from English teacher</w:t>
            </w:r>
          </w:p>
        </w:tc>
      </w:tr>
      <w:tr w:rsidR="0020065A" w:rsidRPr="00201222" w:rsidTr="00506B2D">
        <w:trPr>
          <w:jc w:val="center"/>
        </w:trPr>
        <w:tc>
          <w:tcPr>
            <w:tcW w:w="9576" w:type="dxa"/>
            <w:gridSpan w:val="6"/>
          </w:tcPr>
          <w:p w:rsidR="00012442" w:rsidRPr="00201222" w:rsidRDefault="0020065A" w:rsidP="0001244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Course Description</w:t>
            </w:r>
            <w:r w:rsidR="00012442" w:rsidRPr="00201222">
              <w:rPr>
                <w:rFonts w:ascii="Times New Roman" w:hAnsi="Times New Roman" w:cs="Times New Roman"/>
              </w:rPr>
              <w:t>:</w:t>
            </w:r>
          </w:p>
          <w:p w:rsidR="00012442" w:rsidRPr="00201222" w:rsidRDefault="00012442" w:rsidP="0001244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ab/>
            </w:r>
            <w:r w:rsidR="006676A7" w:rsidRPr="00201222">
              <w:rPr>
                <w:rFonts w:ascii="Times New Roman" w:hAnsi="Times New Roman" w:cs="Times New Roman"/>
              </w:rPr>
              <w:t xml:space="preserve">Whether through the use of </w:t>
            </w:r>
            <w:proofErr w:type="spellStart"/>
            <w:r w:rsidR="006676A7" w:rsidRPr="00201222">
              <w:rPr>
                <w:rFonts w:ascii="Times New Roman" w:hAnsi="Times New Roman" w:cs="Times New Roman"/>
              </w:rPr>
              <w:t>MindPlay</w:t>
            </w:r>
            <w:proofErr w:type="spellEnd"/>
            <w:r w:rsidR="006676A7" w:rsidRPr="00201222">
              <w:rPr>
                <w:rFonts w:ascii="Times New Roman" w:hAnsi="Times New Roman" w:cs="Times New Roman"/>
              </w:rPr>
              <w:t xml:space="preserve"> or </w:t>
            </w:r>
            <w:r w:rsidR="00124C9C" w:rsidRPr="00201222">
              <w:rPr>
                <w:rFonts w:ascii="Times New Roman" w:hAnsi="Times New Roman" w:cs="Times New Roman"/>
              </w:rPr>
              <w:t>Scholastic’s Read 180</w:t>
            </w:r>
            <w:r w:rsidR="006676A7" w:rsidRPr="00201222">
              <w:rPr>
                <w:rFonts w:ascii="Times New Roman" w:hAnsi="Times New Roman" w:cs="Times New Roman"/>
              </w:rPr>
              <w:t>, Language Arts Intensive</w:t>
            </w:r>
            <w:r w:rsidR="00124C9C" w:rsidRPr="00201222">
              <w:rPr>
                <w:rFonts w:ascii="Times New Roman" w:hAnsi="Times New Roman" w:cs="Times New Roman"/>
              </w:rPr>
              <w:t xml:space="preserve"> is designed to meet the language needs of students who are currently below proficiency in reading. Students </w:t>
            </w:r>
            <w:r w:rsidR="006676A7" w:rsidRPr="00201222">
              <w:rPr>
                <w:rFonts w:ascii="Times New Roman" w:hAnsi="Times New Roman" w:cs="Times New Roman"/>
              </w:rPr>
              <w:t>will</w:t>
            </w:r>
            <w:r w:rsidR="00124C9C" w:rsidRPr="00201222">
              <w:rPr>
                <w:rFonts w:ascii="Times New Roman" w:hAnsi="Times New Roman" w:cs="Times New Roman"/>
              </w:rPr>
              <w:t xml:space="preserve"> experience an intensive reading curriculum designed to increase reading </w:t>
            </w:r>
            <w:r w:rsidRPr="00201222">
              <w:rPr>
                <w:rFonts w:ascii="Times New Roman" w:hAnsi="Times New Roman" w:cs="Times New Roman"/>
              </w:rPr>
              <w:t xml:space="preserve">fluency and comprehension, as well as their </w:t>
            </w:r>
            <w:r w:rsidR="00124C9C" w:rsidRPr="00201222">
              <w:rPr>
                <w:rFonts w:ascii="Times New Roman" w:hAnsi="Times New Roman" w:cs="Times New Roman"/>
              </w:rPr>
              <w:t>writing skills. The program</w:t>
            </w:r>
            <w:r w:rsidRPr="00201222">
              <w:rPr>
                <w:rFonts w:ascii="Times New Roman" w:hAnsi="Times New Roman" w:cs="Times New Roman"/>
              </w:rPr>
              <w:t xml:space="preserve">s have </w:t>
            </w:r>
            <w:r w:rsidR="00124C9C" w:rsidRPr="00201222">
              <w:rPr>
                <w:rFonts w:ascii="Times New Roman" w:hAnsi="Times New Roman" w:cs="Times New Roman"/>
              </w:rPr>
              <w:t>years of research showing strong reading progress for students who embrace and compl</w:t>
            </w:r>
            <w:r w:rsidRPr="00201222">
              <w:rPr>
                <w:rFonts w:ascii="Times New Roman" w:hAnsi="Times New Roman" w:cs="Times New Roman"/>
              </w:rPr>
              <w:t>ete all activities with effort.</w:t>
            </w:r>
          </w:p>
          <w:p w:rsidR="0020065A" w:rsidRPr="00201222" w:rsidRDefault="00012442" w:rsidP="0001244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ab/>
            </w:r>
            <w:r w:rsidR="00124C9C" w:rsidRPr="00201222">
              <w:rPr>
                <w:rFonts w:ascii="Times New Roman" w:hAnsi="Times New Roman" w:cs="Times New Roman"/>
              </w:rPr>
              <w:t>Read 180 i</w:t>
            </w:r>
            <w:r w:rsidR="00803825" w:rsidRPr="00201222">
              <w:rPr>
                <w:rFonts w:ascii="Times New Roman" w:hAnsi="Times New Roman" w:cs="Times New Roman"/>
              </w:rPr>
              <w:t xml:space="preserve">s a class where students are provided with </w:t>
            </w:r>
            <w:r w:rsidR="00124C9C" w:rsidRPr="00201222">
              <w:rPr>
                <w:rFonts w:ascii="Times New Roman" w:hAnsi="Times New Roman" w:cs="Times New Roman"/>
              </w:rPr>
              <w:t>a variety of reading</w:t>
            </w:r>
            <w:r w:rsidR="00803825" w:rsidRPr="00201222">
              <w:rPr>
                <w:rFonts w:ascii="Times New Roman" w:hAnsi="Times New Roman" w:cs="Times New Roman"/>
              </w:rPr>
              <w:t xml:space="preserve"> and writing</w:t>
            </w:r>
            <w:r w:rsidR="00124C9C" w:rsidRPr="00201222">
              <w:rPr>
                <w:rFonts w:ascii="Times New Roman" w:hAnsi="Times New Roman" w:cs="Times New Roman"/>
              </w:rPr>
              <w:t xml:space="preserve"> experienc</w:t>
            </w:r>
            <w:r w:rsidR="00803825" w:rsidRPr="00201222">
              <w:rPr>
                <w:rFonts w:ascii="Times New Roman" w:hAnsi="Times New Roman" w:cs="Times New Roman"/>
              </w:rPr>
              <w:t xml:space="preserve">es. </w:t>
            </w:r>
            <w:r w:rsidRPr="00201222">
              <w:rPr>
                <w:rFonts w:ascii="Times New Roman" w:hAnsi="Times New Roman" w:cs="Times New Roman"/>
              </w:rPr>
              <w:t xml:space="preserve">On a two-day cycle, students will rotate through four 20-minute literacy stations. </w:t>
            </w:r>
            <w:r w:rsidR="00803825" w:rsidRPr="00201222">
              <w:rPr>
                <w:rFonts w:ascii="Times New Roman" w:hAnsi="Times New Roman" w:cs="Times New Roman"/>
              </w:rPr>
              <w:t>Whole-Group Instruction</w:t>
            </w:r>
            <w:r w:rsidR="00C61794" w:rsidRPr="00201222">
              <w:rPr>
                <w:rFonts w:ascii="Times New Roman" w:hAnsi="Times New Roman" w:cs="Times New Roman"/>
              </w:rPr>
              <w:t xml:space="preserve"> </w:t>
            </w:r>
            <w:r w:rsidR="00124C9C" w:rsidRPr="00201222">
              <w:rPr>
                <w:rFonts w:ascii="Times New Roman" w:hAnsi="Times New Roman" w:cs="Times New Roman"/>
              </w:rPr>
              <w:t>introduce</w:t>
            </w:r>
            <w:r w:rsidRPr="00201222">
              <w:rPr>
                <w:rFonts w:ascii="Times New Roman" w:hAnsi="Times New Roman" w:cs="Times New Roman"/>
              </w:rPr>
              <w:t>s</w:t>
            </w:r>
            <w:r w:rsidR="00124C9C" w:rsidRPr="00201222">
              <w:rPr>
                <w:rFonts w:ascii="Times New Roman" w:hAnsi="Times New Roman" w:cs="Times New Roman"/>
              </w:rPr>
              <w:t xml:space="preserve"> content, ideas, and skills. </w:t>
            </w:r>
            <w:r w:rsidR="00C61794" w:rsidRPr="00201222">
              <w:rPr>
                <w:rFonts w:ascii="Times New Roman" w:hAnsi="Times New Roman" w:cs="Times New Roman"/>
              </w:rPr>
              <w:t xml:space="preserve">The Instructional Software area allows students to </w:t>
            </w:r>
            <w:r w:rsidR="00B1544E" w:rsidRPr="00201222">
              <w:rPr>
                <w:rFonts w:ascii="Times New Roman" w:hAnsi="Times New Roman" w:cs="Times New Roman"/>
              </w:rPr>
              <w:t>work independently on reading skills including spelling, vocabulary, reading fluency, and comprehension.</w:t>
            </w:r>
            <w:r w:rsidR="00C61794" w:rsidRPr="00201222">
              <w:rPr>
                <w:rFonts w:ascii="Times New Roman" w:hAnsi="Times New Roman" w:cs="Times New Roman"/>
              </w:rPr>
              <w:t xml:space="preserve"> The Independent Reading area allows students </w:t>
            </w:r>
            <w:r w:rsidR="00B1544E" w:rsidRPr="00201222">
              <w:rPr>
                <w:rFonts w:ascii="Times New Roman" w:hAnsi="Times New Roman" w:cs="Times New Roman"/>
              </w:rPr>
              <w:t>a choice of books at their reading level or audiobooks at their grade level for sustained silent reading. Students</w:t>
            </w:r>
            <w:r w:rsidR="00C61794" w:rsidRPr="00201222">
              <w:rPr>
                <w:rFonts w:ascii="Times New Roman" w:hAnsi="Times New Roman" w:cs="Times New Roman"/>
              </w:rPr>
              <w:t xml:space="preserve"> complete written exercises and </w:t>
            </w:r>
            <w:r w:rsidR="00B1544E" w:rsidRPr="00201222">
              <w:rPr>
                <w:rFonts w:ascii="Times New Roman" w:hAnsi="Times New Roman" w:cs="Times New Roman"/>
              </w:rPr>
              <w:t xml:space="preserve">a </w:t>
            </w:r>
            <w:r w:rsidR="00C61794" w:rsidRPr="00201222">
              <w:rPr>
                <w:rFonts w:ascii="Times New Roman" w:hAnsi="Times New Roman" w:cs="Times New Roman"/>
              </w:rPr>
              <w:t xml:space="preserve">daily </w:t>
            </w:r>
            <w:r w:rsidR="00B1544E" w:rsidRPr="00201222">
              <w:rPr>
                <w:rFonts w:ascii="Times New Roman" w:hAnsi="Times New Roman" w:cs="Times New Roman"/>
              </w:rPr>
              <w:t>reading lo</w:t>
            </w:r>
            <w:r w:rsidR="00C61794" w:rsidRPr="00201222">
              <w:rPr>
                <w:rFonts w:ascii="Times New Roman" w:hAnsi="Times New Roman" w:cs="Times New Roman"/>
              </w:rPr>
              <w:t>g to increase comprehension and understanding</w:t>
            </w:r>
            <w:r w:rsidR="00B1544E" w:rsidRPr="00201222">
              <w:rPr>
                <w:rFonts w:ascii="Times New Roman" w:hAnsi="Times New Roman" w:cs="Times New Roman"/>
              </w:rPr>
              <w:t xml:space="preserve"> of the book. </w:t>
            </w:r>
            <w:r w:rsidR="00C61794" w:rsidRPr="00201222">
              <w:rPr>
                <w:rFonts w:ascii="Times New Roman" w:hAnsi="Times New Roman" w:cs="Times New Roman"/>
              </w:rPr>
              <w:t>The Small-Group area gives students the opportunity to</w:t>
            </w:r>
            <w:r w:rsidR="00B1544E" w:rsidRPr="00201222">
              <w:rPr>
                <w:rFonts w:ascii="Times New Roman" w:hAnsi="Times New Roman" w:cs="Times New Roman"/>
              </w:rPr>
              <w:t xml:space="preserve"> work with a teacher to increase their reading comprehension using targeted read</w:t>
            </w:r>
            <w:r w:rsidR="00C61794" w:rsidRPr="00201222">
              <w:rPr>
                <w:rFonts w:ascii="Times New Roman" w:hAnsi="Times New Roman" w:cs="Times New Roman"/>
              </w:rPr>
              <w:t xml:space="preserve">ing skills practice. </w:t>
            </w:r>
            <w:r w:rsidRPr="00201222">
              <w:rPr>
                <w:rFonts w:ascii="Times New Roman" w:hAnsi="Times New Roman" w:cs="Times New Roman"/>
              </w:rPr>
              <w:t xml:space="preserve">Classes will conclude </w:t>
            </w:r>
            <w:r w:rsidR="00C61794" w:rsidRPr="00201222">
              <w:rPr>
                <w:rFonts w:ascii="Times New Roman" w:hAnsi="Times New Roman" w:cs="Times New Roman"/>
              </w:rPr>
              <w:t>with a five minute Whole-Group Wrap-Up activity</w:t>
            </w:r>
            <w:r w:rsidRPr="00201222">
              <w:rPr>
                <w:rFonts w:ascii="Times New Roman" w:hAnsi="Times New Roman" w:cs="Times New Roman"/>
              </w:rPr>
              <w:t>,</w:t>
            </w:r>
            <w:r w:rsidR="00C61794" w:rsidRPr="00201222">
              <w:rPr>
                <w:rFonts w:ascii="Times New Roman" w:hAnsi="Times New Roman" w:cs="Times New Roman"/>
              </w:rPr>
              <w:t xml:space="preserve"> which allows</w:t>
            </w:r>
            <w:r w:rsidR="00B1544E" w:rsidRPr="00201222">
              <w:rPr>
                <w:rFonts w:ascii="Times New Roman" w:hAnsi="Times New Roman" w:cs="Times New Roman"/>
              </w:rPr>
              <w:t xml:space="preserve"> </w:t>
            </w:r>
            <w:r w:rsidR="00C61794" w:rsidRPr="00201222">
              <w:rPr>
                <w:rFonts w:ascii="Times New Roman" w:hAnsi="Times New Roman" w:cs="Times New Roman"/>
              </w:rPr>
              <w:t xml:space="preserve">students to </w:t>
            </w:r>
            <w:r w:rsidR="00B1544E" w:rsidRPr="00201222">
              <w:rPr>
                <w:rFonts w:ascii="Times New Roman" w:hAnsi="Times New Roman" w:cs="Times New Roman"/>
              </w:rPr>
              <w:t>share their knowledge and to prepare for the next day.</w:t>
            </w:r>
          </w:p>
          <w:p w:rsidR="00965D53" w:rsidRPr="00201222" w:rsidRDefault="00012442" w:rsidP="00965D53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ab/>
            </w:r>
            <w:proofErr w:type="spellStart"/>
            <w:r w:rsidRPr="00201222">
              <w:rPr>
                <w:rFonts w:ascii="Times New Roman" w:hAnsi="Times New Roman" w:cs="Times New Roman"/>
              </w:rPr>
              <w:t>Mind</w:t>
            </w:r>
            <w:r w:rsidR="00251625">
              <w:rPr>
                <w:rFonts w:ascii="Times New Roman" w:hAnsi="Times New Roman" w:cs="Times New Roman"/>
              </w:rPr>
              <w:t>P</w:t>
            </w:r>
            <w:r w:rsidRPr="00201222">
              <w:rPr>
                <w:rFonts w:ascii="Times New Roman" w:hAnsi="Times New Roman" w:cs="Times New Roman"/>
              </w:rPr>
              <w:t>lay</w:t>
            </w:r>
            <w:proofErr w:type="spellEnd"/>
            <w:r w:rsidR="00965D53" w:rsidRPr="00201222">
              <w:rPr>
                <w:rFonts w:ascii="Times New Roman" w:hAnsi="Times New Roman" w:cs="Times New Roman"/>
              </w:rPr>
              <w:t xml:space="preserve"> is a virtual reading </w:t>
            </w:r>
            <w:r w:rsidR="00201222" w:rsidRPr="00201222">
              <w:rPr>
                <w:rFonts w:ascii="Times New Roman" w:hAnsi="Times New Roman" w:cs="Times New Roman"/>
              </w:rPr>
              <w:t>program</w:t>
            </w:r>
            <w:r w:rsidR="00965D53" w:rsidRPr="00201222">
              <w:rPr>
                <w:rFonts w:ascii="Times New Roman" w:hAnsi="Times New Roman" w:cs="Times New Roman"/>
              </w:rPr>
              <w:t xml:space="preserve"> that stresses the development of four key literacy components: 1) phonemic awareness &amp; phonics, 2) vocabulary, 3) grammar &amp; meaning,</w:t>
            </w:r>
          </w:p>
          <w:p w:rsidR="00201222" w:rsidRPr="00201222" w:rsidRDefault="00965D53" w:rsidP="0020122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 xml:space="preserve"> 4) </w:t>
            </w:r>
            <w:proofErr w:type="gramStart"/>
            <w:r w:rsidRPr="00201222">
              <w:rPr>
                <w:rFonts w:ascii="Times New Roman" w:hAnsi="Times New Roman" w:cs="Times New Roman"/>
              </w:rPr>
              <w:t>fluency</w:t>
            </w:r>
            <w:proofErr w:type="gramEnd"/>
            <w:r w:rsidRPr="00201222">
              <w:rPr>
                <w:rFonts w:ascii="Times New Roman" w:hAnsi="Times New Roman" w:cs="Times New Roman"/>
              </w:rPr>
              <w:t xml:space="preserve"> &amp; comprehension.</w:t>
            </w:r>
            <w:r w:rsidR="00201222" w:rsidRPr="00201222">
              <w:rPr>
                <w:rFonts w:ascii="Times New Roman" w:hAnsi="Times New Roman" w:cs="Times New Roman"/>
              </w:rPr>
              <w:t xml:space="preserve"> Students will engage in various computer-based activities 30 minutes, four days a week. Remaining in-class time will be devoted to additional skill supplementation and continued literacy support.</w:t>
            </w:r>
          </w:p>
        </w:tc>
      </w:tr>
      <w:tr w:rsidR="0020065A" w:rsidRPr="00201222" w:rsidTr="00506B2D">
        <w:trPr>
          <w:jc w:val="center"/>
        </w:trPr>
        <w:tc>
          <w:tcPr>
            <w:tcW w:w="9576" w:type="dxa"/>
            <w:gridSpan w:val="6"/>
          </w:tcPr>
          <w:p w:rsidR="00201222" w:rsidRPr="00251625" w:rsidRDefault="0020065A" w:rsidP="0020122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Units Covered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9C2FE6" w:rsidRPr="00201222">
              <w:rPr>
                <w:rFonts w:ascii="Times New Roman" w:hAnsi="Times New Roman" w:cs="Times New Roman"/>
              </w:rPr>
              <w:t xml:space="preserve"> </w:t>
            </w:r>
          </w:p>
          <w:p w:rsidR="00201222" w:rsidRDefault="00201222" w:rsidP="002012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1:</w:t>
            </w:r>
          </w:p>
          <w:p w:rsidR="00201222" w:rsidRDefault="000F7995" w:rsidP="00201222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 xml:space="preserve">Workshop </w:t>
            </w:r>
            <w:r w:rsidR="00E35B75" w:rsidRPr="00201222">
              <w:rPr>
                <w:rFonts w:ascii="Times New Roman" w:hAnsi="Times New Roman" w:cs="Times New Roman"/>
              </w:rPr>
              <w:t>1: Main Idea and Details/Expository Writin</w:t>
            </w:r>
            <w:r w:rsidR="00201222">
              <w:rPr>
                <w:rFonts w:ascii="Times New Roman" w:hAnsi="Times New Roman" w:cs="Times New Roman"/>
              </w:rPr>
              <w:t>g</w:t>
            </w:r>
          </w:p>
          <w:p w:rsidR="00201222" w:rsidRDefault="00251625" w:rsidP="00201222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Workshop </w:t>
            </w:r>
            <w:r w:rsidR="00E35B75" w:rsidRPr="00201222">
              <w:rPr>
                <w:rFonts w:ascii="Times New Roman" w:hAnsi="Times New Roman" w:cs="Times New Roman"/>
              </w:rPr>
              <w:t>2: Sequen</w:t>
            </w:r>
            <w:r w:rsidR="00201222">
              <w:rPr>
                <w:rFonts w:ascii="Times New Roman" w:hAnsi="Times New Roman" w:cs="Times New Roman"/>
              </w:rPr>
              <w:t>ce of Events/Narrative Writing</w:t>
            </w:r>
          </w:p>
          <w:p w:rsidR="00201222" w:rsidRDefault="00E35B75" w:rsidP="00201222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Workshop 3: Sto</w:t>
            </w:r>
            <w:r w:rsidR="00201222">
              <w:rPr>
                <w:rFonts w:ascii="Times New Roman" w:hAnsi="Times New Roman" w:cs="Times New Roman"/>
              </w:rPr>
              <w:t>ry Elements/Literature Response</w:t>
            </w:r>
          </w:p>
          <w:p w:rsidR="00201222" w:rsidRDefault="00E35B75" w:rsidP="00201222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 xml:space="preserve">Workshop </w:t>
            </w:r>
            <w:r w:rsidR="00201222">
              <w:rPr>
                <w:rFonts w:ascii="Times New Roman" w:hAnsi="Times New Roman" w:cs="Times New Roman"/>
              </w:rPr>
              <w:t>4: Summarize/Expository Writing</w:t>
            </w:r>
          </w:p>
          <w:p w:rsidR="00201222" w:rsidRDefault="00343B12" w:rsidP="00201222">
            <w:pPr>
              <w:pStyle w:val="ListParagraph"/>
              <w:numPr>
                <w:ilvl w:val="1"/>
                <w:numId w:val="16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 xml:space="preserve">Independent Reading Books: </w:t>
            </w:r>
            <w:r w:rsidR="00A07EF8" w:rsidRPr="00201222">
              <w:rPr>
                <w:rFonts w:ascii="Times New Roman" w:hAnsi="Times New Roman" w:cs="Times New Roman"/>
              </w:rPr>
              <w:t>Daily Reading Logs, Quick-Writes</w:t>
            </w:r>
            <w:r w:rsidR="009C2FE6" w:rsidRPr="00201222">
              <w:rPr>
                <w:rFonts w:ascii="Times New Roman" w:hAnsi="Times New Roman" w:cs="Times New Roman"/>
              </w:rPr>
              <w:t>,</w:t>
            </w:r>
            <w:r w:rsidR="00A07EF8" w:rsidRPr="00201222">
              <w:rPr>
                <w:rFonts w:ascii="Times New Roman" w:hAnsi="Times New Roman" w:cs="Times New Roman"/>
              </w:rPr>
              <w:t xml:space="preserve"> Graphic Organizers,</w:t>
            </w:r>
            <w:r w:rsidR="009C2FE6" w:rsidRPr="00201222">
              <w:rPr>
                <w:rFonts w:ascii="Times New Roman" w:hAnsi="Times New Roman" w:cs="Times New Roman"/>
              </w:rPr>
              <w:t xml:space="preserve"> and</w:t>
            </w:r>
            <w:r w:rsidRPr="00201222">
              <w:rPr>
                <w:rFonts w:ascii="Times New Roman" w:hAnsi="Times New Roman" w:cs="Times New Roman"/>
              </w:rPr>
              <w:t xml:space="preserve"> Comprehension Te</w:t>
            </w:r>
            <w:r w:rsidR="00201222">
              <w:rPr>
                <w:rFonts w:ascii="Times New Roman" w:hAnsi="Times New Roman" w:cs="Times New Roman"/>
              </w:rPr>
              <w:t>sts</w:t>
            </w:r>
          </w:p>
          <w:p w:rsidR="0020065A" w:rsidRPr="00201222" w:rsidRDefault="00B1544E" w:rsidP="0020122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Topic Software Activities</w:t>
            </w:r>
            <w:r w:rsidR="00201222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="00201222">
              <w:rPr>
                <w:rFonts w:ascii="Times New Roman" w:hAnsi="Times New Roman" w:cs="Times New Roman"/>
              </w:rPr>
              <w:t>MindPlay</w:t>
            </w:r>
            <w:proofErr w:type="spellEnd"/>
            <w:r w:rsidR="00201222">
              <w:rPr>
                <w:rFonts w:ascii="Times New Roman" w:hAnsi="Times New Roman" w:cs="Times New Roman"/>
              </w:rPr>
              <w:t xml:space="preserve"> &amp; Read 180</w:t>
            </w:r>
            <w:r w:rsidRPr="00201222">
              <w:rPr>
                <w:rFonts w:ascii="Times New Roman" w:hAnsi="Times New Roman" w:cs="Times New Roman"/>
              </w:rPr>
              <w:t xml:space="preserve">: </w:t>
            </w:r>
            <w:r w:rsidR="009C2FE6" w:rsidRPr="00201222">
              <w:rPr>
                <w:rFonts w:ascii="Times New Roman" w:hAnsi="Times New Roman" w:cs="Times New Roman"/>
              </w:rPr>
              <w:t>Phonics and Decoding Skills, W</w:t>
            </w:r>
            <w:r w:rsidR="00803825" w:rsidRPr="00201222">
              <w:rPr>
                <w:rFonts w:ascii="Times New Roman" w:hAnsi="Times New Roman" w:cs="Times New Roman"/>
              </w:rPr>
              <w:t>or</w:t>
            </w:r>
            <w:r w:rsidR="009C2FE6" w:rsidRPr="00201222">
              <w:rPr>
                <w:rFonts w:ascii="Times New Roman" w:hAnsi="Times New Roman" w:cs="Times New Roman"/>
              </w:rPr>
              <w:t>d Recognition, Reading Fluency, Vocabulary Development, Comprehension, and S</w:t>
            </w:r>
            <w:r w:rsidR="00803825" w:rsidRPr="00201222">
              <w:rPr>
                <w:rFonts w:ascii="Times New Roman" w:hAnsi="Times New Roman" w:cs="Times New Roman"/>
              </w:rPr>
              <w:t>pelling</w:t>
            </w:r>
            <w:r w:rsidR="00201222" w:rsidRPr="00201222">
              <w:rPr>
                <w:rFonts w:ascii="Times New Roman" w:hAnsi="Times New Roman" w:cs="Times New Roman"/>
              </w:rPr>
              <w:t>.</w:t>
            </w:r>
            <w:r w:rsidR="00803825" w:rsidRPr="002012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0065A" w:rsidRPr="00201222" w:rsidTr="00506B2D">
        <w:trPr>
          <w:jc w:val="center"/>
        </w:trPr>
        <w:tc>
          <w:tcPr>
            <w:tcW w:w="4788" w:type="dxa"/>
            <w:gridSpan w:val="3"/>
          </w:tcPr>
          <w:p w:rsidR="0020065A" w:rsidRPr="00201222" w:rsidRDefault="0020065A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Summative Assessments</w:t>
            </w:r>
            <w:r w:rsidRPr="00201222">
              <w:rPr>
                <w:rFonts w:ascii="Times New Roman" w:hAnsi="Times New Roman" w:cs="Times New Roman"/>
              </w:rPr>
              <w:t xml:space="preserve">:  </w:t>
            </w:r>
          </w:p>
          <w:p w:rsidR="0020065A" w:rsidRPr="00201222" w:rsidRDefault="0020065A" w:rsidP="0020122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Quizzes</w:t>
            </w:r>
            <w:r w:rsidR="00EC335C" w:rsidRPr="00201222">
              <w:rPr>
                <w:rFonts w:ascii="Times New Roman" w:hAnsi="Times New Roman" w:cs="Times New Roman"/>
              </w:rPr>
              <w:t xml:space="preserve"> &amp;</w:t>
            </w:r>
            <w:r w:rsidR="00012442" w:rsidRPr="00201222">
              <w:rPr>
                <w:rFonts w:ascii="Times New Roman" w:hAnsi="Times New Roman" w:cs="Times New Roman"/>
              </w:rPr>
              <w:t xml:space="preserve"> </w:t>
            </w:r>
            <w:r w:rsidRPr="00201222">
              <w:rPr>
                <w:rFonts w:ascii="Times New Roman" w:hAnsi="Times New Roman" w:cs="Times New Roman"/>
              </w:rPr>
              <w:t>Tests</w:t>
            </w:r>
          </w:p>
          <w:p w:rsidR="00EC335C" w:rsidRPr="00201222" w:rsidRDefault="00EC335C" w:rsidP="0020122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spellStart"/>
            <w:r w:rsidRPr="00201222">
              <w:rPr>
                <w:rFonts w:ascii="Times New Roman" w:hAnsi="Times New Roman" w:cs="Times New Roman"/>
              </w:rPr>
              <w:t>rBook</w:t>
            </w:r>
            <w:proofErr w:type="spellEnd"/>
            <w:r w:rsidRPr="00201222">
              <w:rPr>
                <w:rFonts w:ascii="Times New Roman" w:hAnsi="Times New Roman" w:cs="Times New Roman"/>
              </w:rPr>
              <w:t xml:space="preserve"> </w:t>
            </w:r>
          </w:p>
          <w:p w:rsidR="0020065A" w:rsidRPr="00201222" w:rsidRDefault="00EC335C" w:rsidP="0020122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Independent Reading Books</w:t>
            </w:r>
          </w:p>
          <w:p w:rsidR="00B50B24" w:rsidRDefault="00803825" w:rsidP="0020122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READ 180</w:t>
            </w:r>
            <w:r w:rsidR="00201222" w:rsidRPr="00201222">
              <w:rPr>
                <w:rFonts w:ascii="Times New Roman" w:hAnsi="Times New Roman" w:cs="Times New Roman"/>
              </w:rPr>
              <w:t>/</w:t>
            </w:r>
            <w:proofErr w:type="spellStart"/>
            <w:r w:rsidR="00201222" w:rsidRPr="00201222">
              <w:rPr>
                <w:rFonts w:ascii="Times New Roman" w:hAnsi="Times New Roman" w:cs="Times New Roman"/>
              </w:rPr>
              <w:t>MindPlay</w:t>
            </w:r>
            <w:proofErr w:type="spellEnd"/>
            <w:r w:rsidRPr="00201222">
              <w:rPr>
                <w:rFonts w:ascii="Times New Roman" w:hAnsi="Times New Roman" w:cs="Times New Roman"/>
              </w:rPr>
              <w:t xml:space="preserve"> Software Data/Usage</w:t>
            </w:r>
          </w:p>
          <w:p w:rsidR="00251625" w:rsidRPr="00251625" w:rsidRDefault="00251625" w:rsidP="0025162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gridSpan w:val="3"/>
          </w:tcPr>
          <w:p w:rsidR="0020065A" w:rsidRPr="00201222" w:rsidRDefault="0018063B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Formative</w:t>
            </w:r>
            <w:r w:rsidR="0020065A" w:rsidRPr="00201222">
              <w:rPr>
                <w:rFonts w:ascii="Times New Roman" w:hAnsi="Times New Roman" w:cs="Times New Roman"/>
                <w:b/>
                <w:u w:val="single"/>
              </w:rPr>
              <w:t xml:space="preserve"> Assessments</w:t>
            </w:r>
            <w:r w:rsidR="0020065A" w:rsidRPr="00201222">
              <w:rPr>
                <w:rFonts w:ascii="Times New Roman" w:hAnsi="Times New Roman" w:cs="Times New Roman"/>
              </w:rPr>
              <w:t>:</w:t>
            </w:r>
          </w:p>
          <w:p w:rsidR="0020065A" w:rsidRPr="00201222" w:rsidRDefault="0020065A" w:rsidP="0020122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Daily work</w:t>
            </w:r>
          </w:p>
          <w:p w:rsidR="0020065A" w:rsidRPr="00201222" w:rsidRDefault="000F7995" w:rsidP="0020122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 xml:space="preserve">Journals </w:t>
            </w:r>
          </w:p>
        </w:tc>
      </w:tr>
      <w:tr w:rsidR="00B50B24" w:rsidRPr="00201222" w:rsidTr="00B50B24">
        <w:trPr>
          <w:jc w:val="center"/>
        </w:trPr>
        <w:tc>
          <w:tcPr>
            <w:tcW w:w="1915" w:type="dxa"/>
          </w:tcPr>
          <w:p w:rsidR="00B50B24" w:rsidRPr="00201222" w:rsidRDefault="00B50B24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lastRenderedPageBreak/>
              <w:t>Courses at BDHS run in a flexible schedule format.  See selection to right for this course’s format:</w:t>
            </w:r>
          </w:p>
        </w:tc>
        <w:tc>
          <w:tcPr>
            <w:tcW w:w="1915" w:type="dxa"/>
          </w:tcPr>
          <w:p w:rsidR="00B50B24" w:rsidRPr="00201222" w:rsidRDefault="00B50B24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u w:val="single"/>
              </w:rPr>
              <w:t xml:space="preserve">One-Term </w:t>
            </w:r>
            <w:r w:rsidR="00AA3D18" w:rsidRPr="00201222">
              <w:rPr>
                <w:rFonts w:ascii="Times New Roman" w:hAnsi="Times New Roman" w:cs="Times New Roman"/>
                <w:u w:val="single"/>
              </w:rPr>
              <w:t>90</w:t>
            </w:r>
            <w:r w:rsidRPr="00201222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17399364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0122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2"/>
          </w:tcPr>
          <w:p w:rsidR="00B50B24" w:rsidRPr="00201222" w:rsidRDefault="00B50B24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u w:val="single"/>
              </w:rPr>
              <w:t xml:space="preserve">Two-Term </w:t>
            </w:r>
            <w:r w:rsidR="00AA3D18" w:rsidRPr="00201222">
              <w:rPr>
                <w:rFonts w:ascii="Times New Roman" w:hAnsi="Times New Roman" w:cs="Times New Roman"/>
                <w:u w:val="single"/>
              </w:rPr>
              <w:t>90</w:t>
            </w:r>
            <w:r w:rsidRPr="0020122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9718464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Pr="0020122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  <w:p w:rsidR="00B50B24" w:rsidRPr="00201222" w:rsidRDefault="00B50B24" w:rsidP="00343B1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15" w:type="dxa"/>
          </w:tcPr>
          <w:p w:rsidR="00B50B24" w:rsidRPr="00201222" w:rsidRDefault="00B50B24" w:rsidP="00343B12">
            <w:pPr>
              <w:rPr>
                <w:rFonts w:ascii="Times New Roman" w:hAnsi="Times New Roman" w:cs="Times New Roman"/>
                <w:u w:val="single"/>
              </w:rPr>
            </w:pPr>
            <w:r w:rsidRPr="00201222">
              <w:rPr>
                <w:rFonts w:ascii="Times New Roman" w:hAnsi="Times New Roman" w:cs="Times New Roman"/>
                <w:u w:val="single"/>
              </w:rPr>
              <w:t xml:space="preserve">All-Year </w:t>
            </w:r>
            <w:r w:rsidR="00AA3D18" w:rsidRPr="00201222">
              <w:rPr>
                <w:rFonts w:ascii="Times New Roman" w:hAnsi="Times New Roman" w:cs="Times New Roman"/>
                <w:u w:val="single"/>
              </w:rPr>
              <w:t>45</w:t>
            </w:r>
            <w:r w:rsidRPr="0020122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64668271"/>
                <w14:checkbox>
                  <w14:checked w14:val="1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13FA0" w:rsidRPr="00201222">
                  <w:rPr>
                    <w:rFonts w:ascii="MS Mincho" w:eastAsia="MS Mincho" w:hAnsi="MS Mincho" w:cs="MS Mincho" w:hint="eastAsia"/>
                  </w:rPr>
                  <w:t>☒</w:t>
                </w:r>
              </w:sdtContent>
            </w:sdt>
          </w:p>
        </w:tc>
        <w:tc>
          <w:tcPr>
            <w:tcW w:w="1916" w:type="dxa"/>
          </w:tcPr>
          <w:p w:rsidR="0068218E" w:rsidRPr="00201222" w:rsidRDefault="00B50B24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u w:val="single"/>
              </w:rPr>
              <w:t>Other</w:t>
            </w:r>
            <w:r w:rsidRPr="00201222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5632284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713FA0" w:rsidRPr="00201222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68218E" w:rsidRPr="002012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50B24" w:rsidRPr="00201222" w:rsidTr="00B50B24">
        <w:trPr>
          <w:jc w:val="center"/>
        </w:trPr>
        <w:tc>
          <w:tcPr>
            <w:tcW w:w="9576" w:type="dxa"/>
            <w:gridSpan w:val="6"/>
          </w:tcPr>
          <w:p w:rsidR="00B50B24" w:rsidRPr="00201222" w:rsidRDefault="00B50B24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School-wide Grading Procedures</w:t>
            </w:r>
            <w:r w:rsidRPr="00201222">
              <w:rPr>
                <w:rFonts w:ascii="Times New Roman" w:hAnsi="Times New Roman" w:cs="Times New Roman"/>
              </w:rPr>
              <w:t>:</w:t>
            </w:r>
          </w:p>
          <w:p w:rsidR="00B50B24" w:rsidRPr="00201222" w:rsidRDefault="00B50B24" w:rsidP="00343B12">
            <w:pPr>
              <w:rPr>
                <w:rFonts w:ascii="Times New Roman" w:hAnsi="Times New Roman" w:cs="Times New Roman"/>
              </w:rPr>
            </w:pPr>
          </w:p>
          <w:p w:rsidR="00B50B24" w:rsidRPr="00201222" w:rsidRDefault="0018063B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ab/>
            </w:r>
            <w:r w:rsidR="00B50B24" w:rsidRPr="00201222">
              <w:rPr>
                <w:rFonts w:ascii="Times New Roman" w:hAnsi="Times New Roman" w:cs="Times New Roman"/>
                <w:b/>
              </w:rPr>
              <w:t>Assessments</w:t>
            </w:r>
            <w:r w:rsidRPr="00201222">
              <w:rPr>
                <w:rFonts w:ascii="Times New Roman" w:hAnsi="Times New Roman" w:cs="Times New Roman"/>
              </w:rPr>
              <w:t>:</w:t>
            </w:r>
            <w:r w:rsidR="00B50B24" w:rsidRPr="00201222">
              <w:rPr>
                <w:rFonts w:ascii="Times New Roman" w:hAnsi="Times New Roman" w:cs="Times New Roman"/>
              </w:rPr>
              <w:t xml:space="preserve"> 85%</w:t>
            </w:r>
          </w:p>
          <w:p w:rsidR="00B50B24" w:rsidRPr="00201222" w:rsidRDefault="0018063B" w:rsidP="0018063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 xml:space="preserve">Formative: </w:t>
            </w:r>
            <w:r w:rsidR="00B50B24" w:rsidRPr="00201222">
              <w:rPr>
                <w:rFonts w:ascii="Times New Roman" w:hAnsi="Times New Roman" w:cs="Times New Roman"/>
              </w:rPr>
              <w:t>30% (of assessment grade)</w:t>
            </w:r>
          </w:p>
          <w:p w:rsidR="00B50B24" w:rsidRPr="00201222" w:rsidRDefault="00B50B24" w:rsidP="0018063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Summative</w:t>
            </w:r>
            <w:r w:rsidR="0018063B" w:rsidRPr="00201222">
              <w:rPr>
                <w:rFonts w:ascii="Times New Roman" w:hAnsi="Times New Roman" w:cs="Times New Roman"/>
              </w:rPr>
              <w:t>:</w:t>
            </w:r>
            <w:r w:rsidRPr="00201222">
              <w:rPr>
                <w:rFonts w:ascii="Times New Roman" w:hAnsi="Times New Roman" w:cs="Times New Roman"/>
              </w:rPr>
              <w:t xml:space="preserve"> 70% (of assessment grade)</w:t>
            </w:r>
          </w:p>
          <w:p w:rsidR="00B50B24" w:rsidRPr="00201222" w:rsidRDefault="0018063B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ab/>
            </w:r>
            <w:r w:rsidR="00B50B24" w:rsidRPr="00201222">
              <w:rPr>
                <w:rFonts w:ascii="Times New Roman" w:hAnsi="Times New Roman" w:cs="Times New Roman"/>
                <w:b/>
              </w:rPr>
              <w:t>Cumulative Final</w:t>
            </w:r>
            <w:r w:rsidRPr="00201222">
              <w:rPr>
                <w:rFonts w:ascii="Times New Roman" w:hAnsi="Times New Roman" w:cs="Times New Roman"/>
              </w:rPr>
              <w:t>:</w:t>
            </w:r>
            <w:r w:rsidR="00B50B24" w:rsidRPr="00201222">
              <w:rPr>
                <w:rFonts w:ascii="Times New Roman" w:hAnsi="Times New Roman" w:cs="Times New Roman"/>
              </w:rPr>
              <w:t xml:space="preserve"> 15%</w:t>
            </w:r>
          </w:p>
          <w:p w:rsidR="00B50B24" w:rsidRPr="00201222" w:rsidRDefault="00B50B24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206B" w:rsidRPr="00201222" w:rsidTr="00506B2D">
        <w:trPr>
          <w:jc w:val="center"/>
        </w:trPr>
        <w:tc>
          <w:tcPr>
            <w:tcW w:w="9576" w:type="dxa"/>
            <w:gridSpan w:val="6"/>
          </w:tcPr>
          <w:p w:rsidR="00EE206B" w:rsidRPr="00201222" w:rsidRDefault="00EE206B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Summative Assessments</w:t>
            </w:r>
            <w:r w:rsidRPr="00201222">
              <w:rPr>
                <w:rFonts w:ascii="Times New Roman" w:hAnsi="Times New Roman" w:cs="Times New Roman"/>
              </w:rPr>
              <w:t>: (this shall constitute 70% of the term grade)</w:t>
            </w:r>
          </w:p>
          <w:p w:rsidR="00EE206B" w:rsidRPr="00201222" w:rsidRDefault="00EE206B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Our goal is to assess what the students have lea</w:t>
            </w:r>
            <w:r w:rsidR="00207B4D">
              <w:rPr>
                <w:rFonts w:ascii="Times New Roman" w:hAnsi="Times New Roman" w:cs="Times New Roman"/>
              </w:rPr>
              <w:t xml:space="preserve">rned from what we have taught. </w:t>
            </w:r>
            <w:r w:rsidRPr="00201222">
              <w:rPr>
                <w:rFonts w:ascii="Times New Roman" w:hAnsi="Times New Roman" w:cs="Times New Roman"/>
              </w:rPr>
              <w:t>Summative assessments reflect the format and content of the formative learning opportunities.</w:t>
            </w:r>
          </w:p>
          <w:p w:rsidR="00EE206B" w:rsidRPr="00201222" w:rsidRDefault="00EE206B" w:rsidP="00343B12">
            <w:pPr>
              <w:rPr>
                <w:rFonts w:ascii="Times New Roman" w:hAnsi="Times New Roman" w:cs="Times New Roman"/>
              </w:rPr>
            </w:pPr>
          </w:p>
          <w:p w:rsidR="00EE206B" w:rsidRPr="00201222" w:rsidRDefault="00EE206B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Make-up Policy for Summative Assessment</w:t>
            </w:r>
            <w:r w:rsidRPr="00201222">
              <w:rPr>
                <w:rFonts w:ascii="Times New Roman" w:hAnsi="Times New Roman" w:cs="Times New Roman"/>
              </w:rPr>
              <w:t>: The student may redo the summative assessment one time within one week after compl</w:t>
            </w:r>
            <w:r w:rsidR="000F7995" w:rsidRPr="00201222">
              <w:rPr>
                <w:rFonts w:ascii="Times New Roman" w:hAnsi="Times New Roman" w:cs="Times New Roman"/>
              </w:rPr>
              <w:t>eting all routine</w:t>
            </w:r>
            <w:r w:rsidRPr="00201222">
              <w:rPr>
                <w:rFonts w:ascii="Times New Roman" w:hAnsi="Times New Roman" w:cs="Times New Roman"/>
              </w:rPr>
              <w:t xml:space="preserve"> tasks, and necessary additional learning.</w:t>
            </w:r>
            <w:r w:rsidR="00B50B24" w:rsidRPr="00201222">
              <w:rPr>
                <w:rFonts w:ascii="Times New Roman" w:hAnsi="Times New Roman" w:cs="Times New Roman"/>
              </w:rPr>
              <w:t xml:space="preserve"> It is the student’s responsibility to advocate for this opportunity and make the necessary arrangements.</w:t>
            </w:r>
          </w:p>
          <w:p w:rsidR="00EE206B" w:rsidRPr="00201222" w:rsidRDefault="00EE206B" w:rsidP="00343B12">
            <w:pPr>
              <w:rPr>
                <w:rFonts w:ascii="Times New Roman" w:hAnsi="Times New Roman" w:cs="Times New Roman"/>
              </w:rPr>
            </w:pPr>
          </w:p>
          <w:p w:rsidR="00B50B24" w:rsidRDefault="00EE206B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Cumulative Final</w:t>
            </w:r>
            <w:r w:rsidRPr="00201222">
              <w:rPr>
                <w:rFonts w:ascii="Times New Roman" w:hAnsi="Times New Roman" w:cs="Times New Roman"/>
              </w:rPr>
              <w:t xml:space="preserve">: At the end of the semester, there will be a cumulative final exam. Students will not be allowed to retake this assessment. This will comprise </w:t>
            </w:r>
            <w:r w:rsidR="00B50B24" w:rsidRPr="00201222">
              <w:rPr>
                <w:rFonts w:ascii="Times New Roman" w:hAnsi="Times New Roman" w:cs="Times New Roman"/>
              </w:rPr>
              <w:t>15</w:t>
            </w:r>
            <w:r w:rsidRPr="00201222">
              <w:rPr>
                <w:rFonts w:ascii="Times New Roman" w:hAnsi="Times New Roman" w:cs="Times New Roman"/>
              </w:rPr>
              <w:t>% of the semester grade.</w:t>
            </w:r>
          </w:p>
          <w:p w:rsidR="00207B4D" w:rsidRPr="00201222" w:rsidRDefault="00207B4D" w:rsidP="00343B12">
            <w:pPr>
              <w:rPr>
                <w:rFonts w:ascii="Times New Roman" w:hAnsi="Times New Roman" w:cs="Times New Roman"/>
              </w:rPr>
            </w:pPr>
          </w:p>
        </w:tc>
      </w:tr>
      <w:tr w:rsidR="00506B2D" w:rsidRPr="00201222" w:rsidTr="00506B2D">
        <w:trPr>
          <w:jc w:val="center"/>
        </w:trPr>
        <w:tc>
          <w:tcPr>
            <w:tcW w:w="4788" w:type="dxa"/>
            <w:gridSpan w:val="3"/>
          </w:tcPr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School-wide Grading Scale</w:t>
            </w:r>
            <w:r w:rsidRPr="00201222">
              <w:rPr>
                <w:rFonts w:ascii="Times New Roman" w:hAnsi="Times New Roman" w:cs="Times New Roman"/>
              </w:rPr>
              <w:t>:</w:t>
            </w:r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5"/>
              <w:gridCol w:w="990"/>
              <w:gridCol w:w="990"/>
              <w:gridCol w:w="990"/>
            </w:tblGrid>
            <w:tr w:rsidR="00C4029F" w:rsidRPr="00201222" w:rsidTr="00B50B24">
              <w:tc>
                <w:tcPr>
                  <w:tcW w:w="1165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A+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98-100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C+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77-79</w:t>
                  </w:r>
                </w:p>
              </w:tc>
            </w:tr>
            <w:tr w:rsidR="00C4029F" w:rsidRPr="00201222" w:rsidTr="00B50B24">
              <w:tc>
                <w:tcPr>
                  <w:tcW w:w="1165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A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93-97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C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73-76</w:t>
                  </w:r>
                </w:p>
              </w:tc>
            </w:tr>
            <w:tr w:rsidR="00C4029F" w:rsidRPr="00201222" w:rsidTr="00B50B24">
              <w:tc>
                <w:tcPr>
                  <w:tcW w:w="1165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A-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90-92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C-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70-72</w:t>
                  </w:r>
                </w:p>
              </w:tc>
            </w:tr>
            <w:tr w:rsidR="00C4029F" w:rsidRPr="00201222" w:rsidTr="00B50B24">
              <w:tc>
                <w:tcPr>
                  <w:tcW w:w="1165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B+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87-89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D+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67-69</w:t>
                  </w:r>
                </w:p>
              </w:tc>
            </w:tr>
            <w:tr w:rsidR="00C4029F" w:rsidRPr="00201222" w:rsidTr="00B50B24">
              <w:tc>
                <w:tcPr>
                  <w:tcW w:w="1165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B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83-86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D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63-66</w:t>
                  </w:r>
                </w:p>
              </w:tc>
            </w:tr>
            <w:tr w:rsidR="00C4029F" w:rsidRPr="00201222" w:rsidTr="00B50B24">
              <w:tc>
                <w:tcPr>
                  <w:tcW w:w="1165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B-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80-82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D-</w:t>
                  </w:r>
                </w:p>
              </w:tc>
              <w:tc>
                <w:tcPr>
                  <w:tcW w:w="990" w:type="dxa"/>
                </w:tcPr>
                <w:p w:rsidR="00C4029F" w:rsidRPr="00201222" w:rsidRDefault="00C4029F" w:rsidP="00343B12">
                  <w:pPr>
                    <w:rPr>
                      <w:rFonts w:ascii="Times New Roman" w:hAnsi="Times New Roman" w:cs="Times New Roman"/>
                    </w:rPr>
                  </w:pPr>
                  <w:r w:rsidRPr="00201222">
                    <w:rPr>
                      <w:rFonts w:ascii="Times New Roman" w:hAnsi="Times New Roman" w:cs="Times New Roman"/>
                    </w:rPr>
                    <w:t>60-62</w:t>
                  </w:r>
                </w:p>
              </w:tc>
            </w:tr>
          </w:tbl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</w:p>
          <w:p w:rsidR="0025262B" w:rsidRDefault="0025262B" w:rsidP="0025262B">
            <w:pPr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A534F">
              <w:rPr>
                <w:rFonts w:ascii="Times New Roman" w:hAnsi="Times New Roman"/>
                <w:b/>
                <w:i/>
                <w:sz w:val="36"/>
                <w:szCs w:val="36"/>
              </w:rPr>
              <w:t>Be</w:t>
            </w:r>
          </w:p>
          <w:p w:rsidR="0025262B" w:rsidRPr="00AA534F" w:rsidRDefault="0025262B" w:rsidP="0025262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Respectful</w:t>
            </w:r>
          </w:p>
          <w:p w:rsidR="0025262B" w:rsidRPr="00AA534F" w:rsidRDefault="0025262B" w:rsidP="0025262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Responsible</w:t>
            </w:r>
          </w:p>
          <w:p w:rsidR="0025262B" w:rsidRPr="00AA534F" w:rsidRDefault="0025262B" w:rsidP="0025262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A534F">
              <w:rPr>
                <w:rFonts w:ascii="Times New Roman" w:hAnsi="Times New Roman"/>
                <w:b/>
                <w:i/>
                <w:sz w:val="36"/>
                <w:szCs w:val="36"/>
              </w:rPr>
              <w:t>Safe</w:t>
            </w:r>
          </w:p>
          <w:p w:rsidR="0025262B" w:rsidRDefault="0025262B" w:rsidP="0025262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A534F">
              <w:rPr>
                <w:rFonts w:ascii="Times New Roman" w:hAnsi="Times New Roman"/>
                <w:b/>
                <w:i/>
                <w:sz w:val="36"/>
                <w:szCs w:val="36"/>
              </w:rPr>
              <w:t>On Time</w:t>
            </w:r>
          </w:p>
          <w:p w:rsidR="00506B2D" w:rsidRPr="00201222" w:rsidRDefault="0025262B" w:rsidP="0025262B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i/>
                <w:sz w:val="36"/>
                <w:szCs w:val="36"/>
              </w:rPr>
              <w:t>Engaged</w:t>
            </w:r>
          </w:p>
        </w:tc>
        <w:tc>
          <w:tcPr>
            <w:tcW w:w="4788" w:type="dxa"/>
            <w:gridSpan w:val="3"/>
          </w:tcPr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  <w:u w:val="single"/>
              </w:rPr>
              <w:t>Contact Information</w:t>
            </w:r>
            <w:r w:rsidRPr="00201222">
              <w:rPr>
                <w:rFonts w:ascii="Times New Roman" w:hAnsi="Times New Roman" w:cs="Times New Roman"/>
              </w:rPr>
              <w:t>:</w:t>
            </w:r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Teacher Name</w:t>
            </w:r>
            <w:r w:rsidRPr="00201222">
              <w:rPr>
                <w:rFonts w:ascii="Times New Roman" w:hAnsi="Times New Roman" w:cs="Times New Roman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-275480381"/>
              </w:sdtPr>
              <w:sdtEndPr/>
              <w:sdtContent>
                <w:r w:rsidR="0018063B" w:rsidRPr="00201222">
                  <w:rPr>
                    <w:rFonts w:ascii="Times New Roman" w:hAnsi="Times New Roman" w:cs="Times New Roman"/>
                  </w:rPr>
                  <w:t>Mr. Linde</w:t>
                </w:r>
              </w:sdtContent>
            </w:sdt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Teacher E</w:t>
            </w:r>
            <w:r w:rsidR="0018063B" w:rsidRPr="00201222">
              <w:rPr>
                <w:rFonts w:ascii="Times New Roman" w:hAnsi="Times New Roman" w:cs="Times New Roman"/>
                <w:b/>
              </w:rPr>
              <w:t>-</w:t>
            </w:r>
            <w:r w:rsidRPr="00201222">
              <w:rPr>
                <w:rFonts w:ascii="Times New Roman" w:hAnsi="Times New Roman" w:cs="Times New Roman"/>
                <w:b/>
              </w:rPr>
              <w:t>mail</w:t>
            </w:r>
            <w:r w:rsidRPr="00201222">
              <w:rPr>
                <w:rFonts w:ascii="Times New Roman" w:hAnsi="Times New Roman" w:cs="Times New Roman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-1026715027"/>
              </w:sdtPr>
              <w:sdtEndPr/>
              <w:sdtContent>
                <w:r w:rsidR="0018063B" w:rsidRPr="00201222">
                  <w:rPr>
                    <w:rFonts w:ascii="Times New Roman" w:hAnsi="Times New Roman" w:cs="Times New Roman"/>
                  </w:rPr>
                  <w:t>lindeb</w:t>
                </w:r>
                <w:r w:rsidR="0068218E" w:rsidRPr="00201222">
                  <w:rPr>
                    <w:rFonts w:ascii="Times New Roman" w:hAnsi="Times New Roman" w:cs="Times New Roman"/>
                  </w:rPr>
                  <w:t>@bdusd.org</w:t>
                </w:r>
              </w:sdtContent>
            </w:sdt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Teacher Phone</w:t>
            </w:r>
            <w:r w:rsidRPr="00201222">
              <w:rPr>
                <w:rFonts w:ascii="Times New Roman" w:hAnsi="Times New Roman" w:cs="Times New Roman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</w:rPr>
                <w:id w:val="1647700916"/>
              </w:sdtPr>
              <w:sdtEndPr/>
              <w:sdtContent>
                <w:r w:rsidR="0018063B" w:rsidRPr="00201222">
                  <w:rPr>
                    <w:rFonts w:ascii="Times New Roman" w:hAnsi="Times New Roman" w:cs="Times New Roman"/>
                  </w:rPr>
                  <w:t>(920)885-7313 ext. 2253</w:t>
                </w:r>
              </w:sdtContent>
            </w:sdt>
          </w:p>
          <w:p w:rsidR="00506B2D" w:rsidRDefault="00506B2D" w:rsidP="00343B12">
            <w:pPr>
              <w:rPr>
                <w:rFonts w:ascii="Times New Roman" w:hAnsi="Times New Roman"/>
              </w:rPr>
            </w:pPr>
            <w:r w:rsidRPr="00201222">
              <w:rPr>
                <w:rFonts w:ascii="Times New Roman" w:hAnsi="Times New Roman" w:cs="Times New Roman"/>
                <w:b/>
              </w:rPr>
              <w:t>Teacher Website</w:t>
            </w:r>
            <w:r w:rsidRPr="00201222">
              <w:rPr>
                <w:rFonts w:ascii="Times New Roman" w:hAnsi="Times New Roman" w:cs="Times New Roman"/>
              </w:rPr>
              <w:t xml:space="preserve">:  </w:t>
            </w:r>
            <w:hyperlink r:id="rId13" w:history="1">
              <w:r w:rsidR="00207B4D" w:rsidRPr="00DB7E03">
                <w:rPr>
                  <w:rStyle w:val="Hyperlink"/>
                  <w:rFonts w:ascii="Times New Roman" w:hAnsi="Times New Roman"/>
                </w:rPr>
                <w:t>www.beaverdam.k12.wi.us/faculty/lindeb</w:t>
              </w:r>
            </w:hyperlink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Beaver Dam High School</w:t>
            </w:r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500 Gould St.</w:t>
            </w:r>
          </w:p>
          <w:p w:rsidR="00506B2D" w:rsidRPr="00201222" w:rsidRDefault="00506B2D" w:rsidP="00343B12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Beaver Dam, WI 53916</w:t>
            </w:r>
          </w:p>
          <w:p w:rsidR="00506B2D" w:rsidRPr="00201222" w:rsidRDefault="00C61E9E" w:rsidP="00343B12">
            <w:pPr>
              <w:rPr>
                <w:rFonts w:ascii="Times New Roman" w:hAnsi="Times New Roman" w:cs="Times New Roman"/>
              </w:rPr>
            </w:pPr>
            <w:hyperlink r:id="rId14" w:history="1">
              <w:r w:rsidR="00506B2D" w:rsidRPr="00201222">
                <w:rPr>
                  <w:rStyle w:val="Hyperlink"/>
                  <w:rFonts w:ascii="Times New Roman" w:hAnsi="Times New Roman" w:cs="Times New Roman"/>
                </w:rPr>
                <w:t>www.beaverdam.k12.wi.us</w:t>
              </w:r>
            </w:hyperlink>
          </w:p>
          <w:p w:rsidR="00506B2D" w:rsidRDefault="00506B2D" w:rsidP="00092D0B">
            <w:pPr>
              <w:rPr>
                <w:rFonts w:ascii="Times New Roman" w:hAnsi="Times New Roman" w:cs="Times New Roman"/>
              </w:rPr>
            </w:pPr>
            <w:r w:rsidRPr="00201222">
              <w:rPr>
                <w:rFonts w:ascii="Times New Roman" w:hAnsi="Times New Roman" w:cs="Times New Roman"/>
              </w:rPr>
              <w:t>(920)885-7</w:t>
            </w:r>
            <w:r w:rsidR="00092D0B" w:rsidRPr="00201222">
              <w:rPr>
                <w:rFonts w:ascii="Times New Roman" w:hAnsi="Times New Roman" w:cs="Times New Roman"/>
              </w:rPr>
              <w:t>313</w:t>
            </w: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Default="00A27A34" w:rsidP="00092D0B">
            <w:pPr>
              <w:rPr>
                <w:rFonts w:ascii="Times New Roman" w:hAnsi="Times New Roman" w:cs="Times New Roman"/>
              </w:rPr>
            </w:pPr>
          </w:p>
          <w:p w:rsidR="00A27A34" w:rsidRPr="00201222" w:rsidRDefault="00A27A34" w:rsidP="00092D0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B5B87" w:rsidRPr="00201222" w:rsidRDefault="009B5B87">
      <w:pPr>
        <w:rPr>
          <w:rFonts w:ascii="Garamond" w:hAnsi="Garamond"/>
        </w:rPr>
      </w:pPr>
    </w:p>
    <w:sectPr w:rsidR="009B5B87" w:rsidRPr="00201222" w:rsidSect="00506B2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9E" w:rsidRDefault="00C61E9E" w:rsidP="00612921">
      <w:pPr>
        <w:spacing w:after="0" w:line="240" w:lineRule="auto"/>
      </w:pPr>
      <w:r>
        <w:separator/>
      </w:r>
    </w:p>
  </w:endnote>
  <w:endnote w:type="continuationSeparator" w:id="0">
    <w:p w:rsidR="00C61E9E" w:rsidRDefault="00C61E9E" w:rsidP="0061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D2" w:rsidRDefault="00CF04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D2" w:rsidRDefault="00CF04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D2" w:rsidRDefault="00CF04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9E" w:rsidRDefault="00C61E9E" w:rsidP="00612921">
      <w:pPr>
        <w:spacing w:after="0" w:line="240" w:lineRule="auto"/>
      </w:pPr>
      <w:r>
        <w:separator/>
      </w:r>
    </w:p>
  </w:footnote>
  <w:footnote w:type="continuationSeparator" w:id="0">
    <w:p w:rsidR="00C61E9E" w:rsidRDefault="00C61E9E" w:rsidP="00612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D2" w:rsidRDefault="00CF04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D2" w:rsidRDefault="00CF04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4D2" w:rsidRDefault="00CF04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BD9"/>
    <w:multiLevelType w:val="hybridMultilevel"/>
    <w:tmpl w:val="192AD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ED7D64"/>
    <w:multiLevelType w:val="hybridMultilevel"/>
    <w:tmpl w:val="82FE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456A8"/>
    <w:multiLevelType w:val="hybridMultilevel"/>
    <w:tmpl w:val="481E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864CB"/>
    <w:multiLevelType w:val="hybridMultilevel"/>
    <w:tmpl w:val="479C9996"/>
    <w:lvl w:ilvl="0" w:tplc="6C1E49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159"/>
    <w:multiLevelType w:val="hybridMultilevel"/>
    <w:tmpl w:val="D772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079CC"/>
    <w:multiLevelType w:val="hybridMultilevel"/>
    <w:tmpl w:val="CFCC6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F751F"/>
    <w:multiLevelType w:val="hybridMultilevel"/>
    <w:tmpl w:val="3CF87DAA"/>
    <w:lvl w:ilvl="0" w:tplc="3FF620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91CC0"/>
    <w:multiLevelType w:val="hybridMultilevel"/>
    <w:tmpl w:val="573022FA"/>
    <w:lvl w:ilvl="0" w:tplc="1B82C1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F3E8A"/>
    <w:multiLevelType w:val="hybridMultilevel"/>
    <w:tmpl w:val="C0B44B46"/>
    <w:lvl w:ilvl="0" w:tplc="6F3CF2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84128"/>
    <w:multiLevelType w:val="hybridMultilevel"/>
    <w:tmpl w:val="C73A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84324"/>
    <w:multiLevelType w:val="hybridMultilevel"/>
    <w:tmpl w:val="53FE8752"/>
    <w:lvl w:ilvl="0" w:tplc="3646766A">
      <w:start w:val="1"/>
      <w:numFmt w:val="upperLetter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C416A11"/>
    <w:multiLevelType w:val="hybridMultilevel"/>
    <w:tmpl w:val="C5B8D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8C0C23"/>
    <w:multiLevelType w:val="hybridMultilevel"/>
    <w:tmpl w:val="B00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300DC"/>
    <w:multiLevelType w:val="hybridMultilevel"/>
    <w:tmpl w:val="22D8008A"/>
    <w:lvl w:ilvl="0" w:tplc="57246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A1D92"/>
    <w:multiLevelType w:val="hybridMultilevel"/>
    <w:tmpl w:val="6548F19A"/>
    <w:lvl w:ilvl="0" w:tplc="58948D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70361BF4"/>
    <w:multiLevelType w:val="hybridMultilevel"/>
    <w:tmpl w:val="43ACA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760686"/>
    <w:multiLevelType w:val="hybridMultilevel"/>
    <w:tmpl w:val="9FCCDC12"/>
    <w:lvl w:ilvl="0" w:tplc="8DC67D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F06BB"/>
    <w:multiLevelType w:val="hybridMultilevel"/>
    <w:tmpl w:val="EB5C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A5CC2"/>
    <w:multiLevelType w:val="hybridMultilevel"/>
    <w:tmpl w:val="75688868"/>
    <w:lvl w:ilvl="0" w:tplc="B5A4D3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18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0"/>
  </w:num>
  <w:num w:numId="13">
    <w:abstractNumId w:val="17"/>
  </w:num>
  <w:num w:numId="14">
    <w:abstractNumId w:val="15"/>
  </w:num>
  <w:num w:numId="15">
    <w:abstractNumId w:val="11"/>
  </w:num>
  <w:num w:numId="16">
    <w:abstractNumId w:val="12"/>
  </w:num>
  <w:num w:numId="17">
    <w:abstractNumId w:val="1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5A"/>
    <w:rsid w:val="00012442"/>
    <w:rsid w:val="00092D0B"/>
    <w:rsid w:val="000F7995"/>
    <w:rsid w:val="00101398"/>
    <w:rsid w:val="00121D21"/>
    <w:rsid w:val="00124C9C"/>
    <w:rsid w:val="0018063B"/>
    <w:rsid w:val="0018687B"/>
    <w:rsid w:val="001F3D6C"/>
    <w:rsid w:val="0020065A"/>
    <w:rsid w:val="00201222"/>
    <w:rsid w:val="00207B4D"/>
    <w:rsid w:val="00251625"/>
    <w:rsid w:val="0025262B"/>
    <w:rsid w:val="00312A86"/>
    <w:rsid w:val="00343B12"/>
    <w:rsid w:val="00442CBB"/>
    <w:rsid w:val="004B262A"/>
    <w:rsid w:val="004D2B1E"/>
    <w:rsid w:val="00506B2D"/>
    <w:rsid w:val="00612921"/>
    <w:rsid w:val="00643CBF"/>
    <w:rsid w:val="006676A7"/>
    <w:rsid w:val="0068218E"/>
    <w:rsid w:val="006F6474"/>
    <w:rsid w:val="00713FA0"/>
    <w:rsid w:val="00801F98"/>
    <w:rsid w:val="00803825"/>
    <w:rsid w:val="008165AF"/>
    <w:rsid w:val="00965D53"/>
    <w:rsid w:val="009B5B87"/>
    <w:rsid w:val="009C2FE6"/>
    <w:rsid w:val="00A07EF8"/>
    <w:rsid w:val="00A27A34"/>
    <w:rsid w:val="00AA3D18"/>
    <w:rsid w:val="00AC1A64"/>
    <w:rsid w:val="00B1544E"/>
    <w:rsid w:val="00B50B24"/>
    <w:rsid w:val="00C4029F"/>
    <w:rsid w:val="00C61794"/>
    <w:rsid w:val="00C61E9E"/>
    <w:rsid w:val="00C729CE"/>
    <w:rsid w:val="00C742B9"/>
    <w:rsid w:val="00CD5F4C"/>
    <w:rsid w:val="00CF04D2"/>
    <w:rsid w:val="00DE0EB2"/>
    <w:rsid w:val="00E35B75"/>
    <w:rsid w:val="00EB2D68"/>
    <w:rsid w:val="00EC335C"/>
    <w:rsid w:val="00EE206B"/>
    <w:rsid w:val="00F7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0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B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21"/>
  </w:style>
  <w:style w:type="paragraph" w:styleId="Footer">
    <w:name w:val="footer"/>
    <w:basedOn w:val="Normal"/>
    <w:link w:val="FooterChar"/>
    <w:uiPriority w:val="99"/>
    <w:unhideWhenUsed/>
    <w:rsid w:val="0061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1"/>
  </w:style>
  <w:style w:type="character" w:styleId="FollowedHyperlink">
    <w:name w:val="FollowedHyperlink"/>
    <w:basedOn w:val="DefaultParagraphFont"/>
    <w:uiPriority w:val="99"/>
    <w:semiHidden/>
    <w:unhideWhenUsed/>
    <w:rsid w:val="001806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06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6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6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B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921"/>
  </w:style>
  <w:style w:type="paragraph" w:styleId="Footer">
    <w:name w:val="footer"/>
    <w:basedOn w:val="Normal"/>
    <w:link w:val="FooterChar"/>
    <w:uiPriority w:val="99"/>
    <w:unhideWhenUsed/>
    <w:rsid w:val="0061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1"/>
  </w:style>
  <w:style w:type="character" w:styleId="FollowedHyperlink">
    <w:name w:val="FollowedHyperlink"/>
    <w:basedOn w:val="DefaultParagraphFont"/>
    <w:uiPriority w:val="99"/>
    <w:semiHidden/>
    <w:unhideWhenUsed/>
    <w:rsid w:val="00180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averdam.k12.wi.us/faculty/lindeb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exile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ad180.scholastic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indplay.co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beaverdam.k12.wi.u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6A88-75FE-4935-A4F9-1592C0D0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BDUSD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White</dc:creator>
  <cp:lastModifiedBy>Windows User</cp:lastModifiedBy>
  <cp:revision>11</cp:revision>
  <dcterms:created xsi:type="dcterms:W3CDTF">2014-08-27T23:42:00Z</dcterms:created>
  <dcterms:modified xsi:type="dcterms:W3CDTF">2015-08-28T16:11:00Z</dcterms:modified>
</cp:coreProperties>
</file>