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12F" w:rsidRDefault="009F2BE9">
      <w:pPr>
        <w:ind w:firstLine="720"/>
        <w:jc w:val="center"/>
      </w:pPr>
      <w:bookmarkStart w:id="0" w:name="_GoBack"/>
      <w:bookmarkEnd w:id="0"/>
      <w:r>
        <w:rPr>
          <w:rFonts w:ascii="Garamond" w:eastAsia="Garamond" w:hAnsi="Garamond" w:cs="Garamond"/>
          <w:sz w:val="44"/>
          <w:szCs w:val="44"/>
        </w:rPr>
        <w:t>Beaver Dam High School Syllabus</w:t>
      </w:r>
      <w:r>
        <w:rPr>
          <w:noProof/>
        </w:rPr>
        <w:drawing>
          <wp:anchor distT="0" distB="0" distL="114300" distR="114300" simplePos="0" relativeHeight="251658240" behindDoc="0" locked="0" layoutInCell="0" hidden="0" allowOverlap="1">
            <wp:simplePos x="0" y="0"/>
            <wp:positionH relativeFrom="margin">
              <wp:posOffset>742950</wp:posOffset>
            </wp:positionH>
            <wp:positionV relativeFrom="paragraph">
              <wp:posOffset>-332104</wp:posOffset>
            </wp:positionV>
            <wp:extent cx="714375" cy="828040"/>
            <wp:effectExtent l="0" t="0" r="0" b="0"/>
            <wp:wrapSquare wrapText="bothSides" distT="0" distB="0" distL="114300" distR="11430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28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0"/>
        <w:tblW w:w="9686" w:type="dxa"/>
        <w:jc w:val="center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5"/>
        <w:gridCol w:w="1915"/>
        <w:gridCol w:w="958"/>
        <w:gridCol w:w="957"/>
        <w:gridCol w:w="1976"/>
        <w:gridCol w:w="1965"/>
      </w:tblGrid>
      <w:tr w:rsidR="0002212F">
        <w:trPr>
          <w:jc w:val="center"/>
        </w:trPr>
        <w:tc>
          <w:tcPr>
            <w:tcW w:w="4788" w:type="dxa"/>
            <w:gridSpan w:val="3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Department:  Mathematics</w:t>
            </w: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Teachers: Mrs. Jodi Franke and Tim Chase</w:t>
            </w: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School Year:  2016-2017</w:t>
            </w: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Course:  Algebra 2</w:t>
            </w: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Grade Level:  11</w:t>
            </w:r>
            <w:r>
              <w:rPr>
                <w:rFonts w:ascii="Garamond" w:eastAsia="Garamond" w:hAnsi="Garamond" w:cs="Garamond"/>
                <w:sz w:val="24"/>
                <w:szCs w:val="24"/>
                <w:vertAlign w:val="superscript"/>
              </w:rPr>
              <w:t xml:space="preserve">th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– 12th</w:t>
            </w:r>
          </w:p>
          <w:p w:rsidR="0002212F" w:rsidRDefault="0002212F">
            <w:pPr>
              <w:spacing w:after="0" w:line="240" w:lineRule="auto"/>
            </w:pPr>
            <w:bookmarkStart w:id="1" w:name="_gjdgxs" w:colFirst="0" w:colLast="0"/>
            <w:bookmarkEnd w:id="1"/>
          </w:p>
        </w:tc>
        <w:tc>
          <w:tcPr>
            <w:tcW w:w="4898" w:type="dxa"/>
            <w:gridSpan w:val="3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 Materials: a 2” or larger 3 ring binder with loose leaf paper or multiple notebooks, TI- 83 or 84 graphing calculator, 1 dry erase marker, and a pen or pencil</w:t>
            </w:r>
          </w:p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 Resources:  Primary resources/textbooks: Algebra 2 (Glencoe McGraw Hill)</w:t>
            </w:r>
          </w:p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Prerequi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sites:  Algebra 1 and Geometry </w:t>
            </w:r>
          </w:p>
          <w:p w:rsidR="0002212F" w:rsidRDefault="0002212F">
            <w:pPr>
              <w:spacing w:after="0" w:line="240" w:lineRule="auto"/>
            </w:pPr>
          </w:p>
        </w:tc>
      </w:tr>
      <w:tr w:rsidR="0002212F">
        <w:trPr>
          <w:jc w:val="center"/>
        </w:trPr>
        <w:tc>
          <w:tcPr>
            <w:tcW w:w="9686" w:type="dxa"/>
            <w:gridSpan w:val="6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Course Overview or Description:  Students will build on their understanding of linear, exponential and quadratic functions and will also explore polynomial, rational, radical and trigonometric relationships.  Other topics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covered include making inferences and conclusions to data.  </w:t>
            </w:r>
          </w:p>
          <w:p w:rsidR="0002212F" w:rsidRDefault="0002212F">
            <w:pPr>
              <w:spacing w:after="0" w:line="240" w:lineRule="auto"/>
            </w:pPr>
          </w:p>
        </w:tc>
      </w:tr>
      <w:tr w:rsidR="0002212F">
        <w:trPr>
          <w:jc w:val="center"/>
        </w:trPr>
        <w:tc>
          <w:tcPr>
            <w:tcW w:w="9686" w:type="dxa"/>
            <w:gridSpan w:val="6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Units Covered:   Linear Functions and Relations; Quadratic, Polynomial, and Radical Functions and Relations;</w:t>
            </w:r>
            <w:r>
              <w:t xml:space="preserve">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Exponential, Logarithmic, and Rational Functions and Relations; Trigonometric Functions;</w:t>
            </w:r>
            <w:r>
              <w:t xml:space="preserve"> and 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Inferences and Conclusions from Data</w:t>
            </w:r>
          </w:p>
          <w:p w:rsidR="0002212F" w:rsidRDefault="0002212F">
            <w:pPr>
              <w:spacing w:after="0" w:line="240" w:lineRule="auto"/>
            </w:pPr>
          </w:p>
        </w:tc>
      </w:tr>
      <w:tr w:rsidR="0002212F">
        <w:trPr>
          <w:jc w:val="center"/>
        </w:trPr>
        <w:tc>
          <w:tcPr>
            <w:tcW w:w="4788" w:type="dxa"/>
            <w:gridSpan w:val="3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Summative Assessments:  </w:t>
            </w:r>
          </w:p>
          <w:p w:rsidR="0002212F" w:rsidRDefault="009F2BE9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Weekly Assessments (30%)</w:t>
            </w:r>
          </w:p>
          <w:p w:rsidR="0002212F" w:rsidRDefault="009F2BE9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Unit Tests (30%)</w:t>
            </w:r>
          </w:p>
          <w:p w:rsidR="0002212F" w:rsidRDefault="009F2BE9">
            <w:pPr>
              <w:numPr>
                <w:ilvl w:val="0"/>
                <w:numId w:val="1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Unit Performance Tasks (10%)</w:t>
            </w:r>
          </w:p>
          <w:p w:rsidR="0002212F" w:rsidRDefault="0002212F">
            <w:pPr>
              <w:spacing w:after="0" w:line="240" w:lineRule="auto"/>
              <w:ind w:left="720"/>
            </w:pPr>
          </w:p>
        </w:tc>
        <w:tc>
          <w:tcPr>
            <w:tcW w:w="4898" w:type="dxa"/>
            <w:gridSpan w:val="3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Routine Assessments: (30%)</w:t>
            </w:r>
          </w:p>
          <w:p w:rsidR="0002212F" w:rsidRDefault="009F2BE9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Daily work / Homework / Assignments</w:t>
            </w:r>
          </w:p>
          <w:p w:rsidR="0002212F" w:rsidRDefault="009F2BE9">
            <w:pPr>
              <w:numPr>
                <w:ilvl w:val="0"/>
                <w:numId w:val="2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Participation / Journals / Warm ups</w:t>
            </w:r>
          </w:p>
        </w:tc>
      </w:tr>
      <w:tr w:rsidR="0002212F">
        <w:trPr>
          <w:jc w:val="center"/>
        </w:trPr>
        <w:tc>
          <w:tcPr>
            <w:tcW w:w="1915" w:type="dxa"/>
          </w:tcPr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Courses at BDHS run in a flexible schedule format.  See selection to right for this course’s format:</w:t>
            </w:r>
          </w:p>
          <w:p w:rsidR="0002212F" w:rsidRDefault="0002212F">
            <w:pPr>
              <w:spacing w:after="0" w:line="240" w:lineRule="auto"/>
            </w:pPr>
          </w:p>
        </w:tc>
        <w:tc>
          <w:tcPr>
            <w:tcW w:w="1915" w:type="dxa"/>
          </w:tcPr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One-Term 90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915" w:type="dxa"/>
            <w:gridSpan w:val="2"/>
          </w:tcPr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Two-Term 90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  <w:p w:rsidR="0002212F" w:rsidRDefault="0002212F">
            <w:pPr>
              <w:spacing w:after="0" w:line="240" w:lineRule="auto"/>
            </w:pPr>
          </w:p>
        </w:tc>
        <w:tc>
          <w:tcPr>
            <w:tcW w:w="1976" w:type="dxa"/>
          </w:tcPr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All-Year 45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  <w:r>
              <w:rPr>
                <w:rFonts w:ascii="Meiryo" w:eastAsia="Meiryo" w:hAnsi="Meiryo" w:cs="Meiryo"/>
                <w:sz w:val="24"/>
                <w:szCs w:val="24"/>
              </w:rPr>
              <w:t>☒</w:t>
            </w:r>
          </w:p>
        </w:tc>
        <w:tc>
          <w:tcPr>
            <w:tcW w:w="1965" w:type="dxa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br/>
              <w:t>Other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02212F">
        <w:trPr>
          <w:jc w:val="center"/>
        </w:trPr>
        <w:tc>
          <w:tcPr>
            <w:tcW w:w="9686" w:type="dxa"/>
            <w:gridSpan w:val="6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School-wide Grading Procedures:</w:t>
            </w:r>
          </w:p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Assessments 85%</w:t>
            </w:r>
          </w:p>
          <w:p w:rsidR="0002212F" w:rsidRDefault="009F2BE9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Routine 30% (of assessment grade)</w:t>
            </w:r>
          </w:p>
          <w:p w:rsidR="0002212F" w:rsidRDefault="009F2BE9">
            <w:pPr>
              <w:numPr>
                <w:ilvl w:val="0"/>
                <w:numId w:val="3"/>
              </w:numPr>
              <w:spacing w:after="0" w:line="240" w:lineRule="auto"/>
              <w:ind w:hanging="360"/>
              <w:contextualSpacing/>
              <w:rPr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Summative 70% (of assessment grade)</w:t>
            </w: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Cumulative Final 15%</w:t>
            </w: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 </w:t>
            </w:r>
          </w:p>
        </w:tc>
      </w:tr>
      <w:tr w:rsidR="0002212F">
        <w:trPr>
          <w:jc w:val="center"/>
        </w:trPr>
        <w:tc>
          <w:tcPr>
            <w:tcW w:w="9686" w:type="dxa"/>
            <w:gridSpan w:val="6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Summative Assessments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  (this shall constitute 70% of the term grade)</w:t>
            </w: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Our goal is to assess what the students have learned from what we have taught.  Summative assessments reflect the format and content of the formative learning opportunities.</w:t>
            </w:r>
          </w:p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b/>
                <w:sz w:val="24"/>
                <w:szCs w:val="24"/>
              </w:rPr>
              <w:t>Make-up Policy for Summative Assessment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  The student may redo the summative asse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ssment one time within one week after completing all formative tasks, and necessary additional learning.  It is the student’s responsibility to advocate for this opportunity and make the necessary arrangements.</w:t>
            </w:r>
          </w:p>
          <w:p w:rsidR="0002212F" w:rsidRDefault="0002212F">
            <w:pPr>
              <w:spacing w:after="0" w:line="240" w:lineRule="auto"/>
            </w:pPr>
          </w:p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  <w:u w:val="single"/>
              </w:rPr>
              <w:t>Cumulative Final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:  At the end of the semeste</w:t>
            </w:r>
            <w:r>
              <w:rPr>
                <w:rFonts w:ascii="Garamond" w:eastAsia="Garamond" w:hAnsi="Garamond" w:cs="Garamond"/>
                <w:sz w:val="24"/>
                <w:szCs w:val="24"/>
              </w:rPr>
              <w:t>r, there will be a cumulative final exam.  Students will not be allowed to retake this assessment.  This will comprise 15% of the semester grade.</w:t>
            </w:r>
          </w:p>
          <w:p w:rsidR="0002212F" w:rsidRDefault="0002212F">
            <w:pPr>
              <w:spacing w:after="0" w:line="240" w:lineRule="auto"/>
            </w:pPr>
          </w:p>
        </w:tc>
      </w:tr>
      <w:tr w:rsidR="0002212F">
        <w:trPr>
          <w:jc w:val="center"/>
        </w:trPr>
        <w:tc>
          <w:tcPr>
            <w:tcW w:w="4788" w:type="dxa"/>
            <w:gridSpan w:val="3"/>
          </w:tcPr>
          <w:p w:rsidR="0002212F" w:rsidRDefault="009F2BE9">
            <w:pPr>
              <w:spacing w:after="0" w:line="240" w:lineRule="auto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lastRenderedPageBreak/>
              <w:t>School-wide Grading Scale:</w:t>
            </w:r>
          </w:p>
          <w:p w:rsidR="0002212F" w:rsidRDefault="0002212F">
            <w:pPr>
              <w:spacing w:after="0" w:line="240" w:lineRule="auto"/>
              <w:jc w:val="both"/>
            </w:pPr>
          </w:p>
          <w:tbl>
            <w:tblPr>
              <w:tblStyle w:val="a"/>
              <w:tblW w:w="413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165"/>
              <w:gridCol w:w="990"/>
              <w:gridCol w:w="990"/>
              <w:gridCol w:w="990"/>
            </w:tblGrid>
            <w:tr w:rsidR="0002212F">
              <w:tc>
                <w:tcPr>
                  <w:tcW w:w="1165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A+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98-100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C+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77-79</w:t>
                  </w:r>
                </w:p>
              </w:tc>
            </w:tr>
            <w:tr w:rsidR="0002212F">
              <w:tc>
                <w:tcPr>
                  <w:tcW w:w="1165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A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93-97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C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73-76</w:t>
                  </w:r>
                </w:p>
              </w:tc>
            </w:tr>
            <w:tr w:rsidR="0002212F">
              <w:tc>
                <w:tcPr>
                  <w:tcW w:w="1165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A-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90-92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C-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70-72</w:t>
                  </w:r>
                </w:p>
              </w:tc>
            </w:tr>
            <w:tr w:rsidR="0002212F">
              <w:tc>
                <w:tcPr>
                  <w:tcW w:w="1165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B+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87-89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D+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67-69</w:t>
                  </w:r>
                </w:p>
              </w:tc>
            </w:tr>
            <w:tr w:rsidR="0002212F">
              <w:tc>
                <w:tcPr>
                  <w:tcW w:w="1165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B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83-86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D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63-66</w:t>
                  </w:r>
                </w:p>
              </w:tc>
            </w:tr>
            <w:tr w:rsidR="0002212F">
              <w:tc>
                <w:tcPr>
                  <w:tcW w:w="1165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B-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80-82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D-</w:t>
                  </w:r>
                </w:p>
              </w:tc>
              <w:tc>
                <w:tcPr>
                  <w:tcW w:w="990" w:type="dxa"/>
                </w:tcPr>
                <w:p w:rsidR="0002212F" w:rsidRDefault="009F2BE9">
                  <w:pPr>
                    <w:spacing w:after="0" w:line="240" w:lineRule="auto"/>
                    <w:jc w:val="both"/>
                  </w:pPr>
                  <w:r>
                    <w:rPr>
                      <w:rFonts w:ascii="Garamond" w:eastAsia="Garamond" w:hAnsi="Garamond" w:cs="Garamond"/>
                      <w:sz w:val="24"/>
                      <w:szCs w:val="24"/>
                    </w:rPr>
                    <w:t>60-62</w:t>
                  </w:r>
                </w:p>
              </w:tc>
            </w:tr>
          </w:tbl>
          <w:p w:rsidR="0002212F" w:rsidRDefault="0002212F">
            <w:pPr>
              <w:spacing w:after="0" w:line="240" w:lineRule="auto"/>
              <w:jc w:val="both"/>
            </w:pPr>
          </w:p>
          <w:p w:rsidR="0002212F" w:rsidRDefault="0002212F">
            <w:pPr>
              <w:spacing w:after="0" w:line="240" w:lineRule="auto"/>
              <w:jc w:val="both"/>
            </w:pPr>
          </w:p>
        </w:tc>
        <w:tc>
          <w:tcPr>
            <w:tcW w:w="4898" w:type="dxa"/>
            <w:gridSpan w:val="3"/>
          </w:tcPr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Contact Information:</w:t>
            </w:r>
          </w:p>
          <w:p w:rsidR="0002212F" w:rsidRDefault="0002212F">
            <w:pPr>
              <w:spacing w:after="0" w:line="240" w:lineRule="auto"/>
              <w:jc w:val="both"/>
            </w:pP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 Name:  Mrs. Jodi Franke</w:t>
            </w: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 Email:  frankej@bdusd.org</w:t>
            </w: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Teacher Phone:  920-885-7520 X 2187</w:t>
            </w: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 xml:space="preserve">Teacher Website:   </w:t>
            </w: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http://www.beaverdam.k12.wi.us/faculty/frankej</w:t>
            </w:r>
          </w:p>
          <w:p w:rsidR="0002212F" w:rsidRDefault="0002212F">
            <w:pPr>
              <w:spacing w:after="0" w:line="240" w:lineRule="auto"/>
              <w:jc w:val="both"/>
            </w:pP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Beaver Dam High School</w:t>
            </w: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500 Gould St.</w:t>
            </w:r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Beaver Dam, WI 53916</w:t>
            </w:r>
          </w:p>
          <w:p w:rsidR="0002212F" w:rsidRDefault="009F2BE9">
            <w:pPr>
              <w:spacing w:after="0" w:line="240" w:lineRule="auto"/>
              <w:jc w:val="both"/>
            </w:pPr>
            <w:hyperlink r:id="rId7">
              <w:r>
                <w:rPr>
                  <w:rFonts w:ascii="Garamond" w:eastAsia="Garamond" w:hAnsi="Garamond" w:cs="Garamond"/>
                  <w:color w:val="0000FF"/>
                  <w:sz w:val="24"/>
                  <w:szCs w:val="24"/>
                  <w:u w:val="single"/>
                </w:rPr>
                <w:t>www.beaverdam.k12.wi.us</w:t>
              </w:r>
            </w:hyperlink>
            <w:hyperlink r:id="rId8"/>
          </w:p>
          <w:p w:rsidR="0002212F" w:rsidRDefault="009F2BE9">
            <w:pPr>
              <w:spacing w:after="0" w:line="240" w:lineRule="auto"/>
              <w:jc w:val="both"/>
            </w:pPr>
            <w:r>
              <w:rPr>
                <w:rFonts w:ascii="Garamond" w:eastAsia="Garamond" w:hAnsi="Garamond" w:cs="Garamond"/>
                <w:sz w:val="24"/>
                <w:szCs w:val="24"/>
              </w:rPr>
              <w:t>(920)885-7520</w:t>
            </w:r>
          </w:p>
        </w:tc>
      </w:tr>
    </w:tbl>
    <w:p w:rsidR="0002212F" w:rsidRDefault="0002212F"/>
    <w:sectPr w:rsidR="0002212F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0B65"/>
    <w:multiLevelType w:val="multilevel"/>
    <w:tmpl w:val="C79E6FA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63AC0C36"/>
    <w:multiLevelType w:val="multilevel"/>
    <w:tmpl w:val="696E0D7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71CF5517"/>
    <w:multiLevelType w:val="multilevel"/>
    <w:tmpl w:val="25BE4A0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2212F"/>
    <w:rsid w:val="0002212F"/>
    <w:rsid w:val="009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averdam.k12.wi.u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averdam.k12.wi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Franke</dc:creator>
  <cp:lastModifiedBy>Windows User</cp:lastModifiedBy>
  <cp:revision>2</cp:revision>
  <dcterms:created xsi:type="dcterms:W3CDTF">2016-08-31T17:34:00Z</dcterms:created>
  <dcterms:modified xsi:type="dcterms:W3CDTF">2016-08-31T17:34:00Z</dcterms:modified>
</cp:coreProperties>
</file>